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09" w:rsidRDefault="00926E09" w:rsidP="00926E09">
      <w:pPr>
        <w:pStyle w:val="NormaleWeb"/>
      </w:pPr>
      <w:r>
        <w:rPr>
          <w:rStyle w:val="Enfasigrassetto"/>
        </w:rPr>
        <w:t xml:space="preserve">AMMONTARE DEI FONDI E SOGGETTI DESTINATARI - </w:t>
      </w:r>
      <w:r>
        <w:t>L'</w:t>
      </w:r>
      <w:bookmarkStart w:id="0" w:name="0"/>
      <w:r>
        <w:fldChar w:fldCharType="begin"/>
      </w:r>
      <w:r>
        <w:instrText xml:space="preserve"> HYPERLINK "http://www.legislazionetecnica.it/lt_link/normativa/REw1MDIwMTcjQTQxJGJpcw==" </w:instrText>
      </w:r>
      <w:r>
        <w:fldChar w:fldCharType="separate"/>
      </w:r>
      <w:r>
        <w:rPr>
          <w:rStyle w:val="Collegamentoipertestuale"/>
        </w:rPr>
        <w:t>art. 41-bis del D.L. 24/04/2017, n. 50</w:t>
      </w:r>
      <w:r>
        <w:fldChar w:fldCharType="end"/>
      </w:r>
      <w:bookmarkEnd w:id="0"/>
      <w:r>
        <w:t xml:space="preserve"> (convertito in legge dalla </w:t>
      </w:r>
      <w:bookmarkStart w:id="1" w:name="1"/>
      <w:r>
        <w:fldChar w:fldCharType="begin"/>
      </w:r>
      <w:r>
        <w:instrText xml:space="preserve"> HYPERLINK "http://www.legislazionetecnica.it/lt_link/normativa/TDk2MjAxNw==" </w:instrText>
      </w:r>
      <w:r>
        <w:fldChar w:fldCharType="separate"/>
      </w:r>
      <w:r>
        <w:rPr>
          <w:rStyle w:val="Collegamentoipertestuale"/>
        </w:rPr>
        <w:t>L. 21/06/2017, n. 96</w:t>
      </w:r>
      <w:r>
        <w:fldChar w:fldCharType="end"/>
      </w:r>
      <w:bookmarkEnd w:id="1"/>
      <w:r>
        <w:t>, ed in seguito modificato dall'</w:t>
      </w:r>
      <w:bookmarkStart w:id="2" w:name="2"/>
      <w:r>
        <w:fldChar w:fldCharType="begin"/>
      </w:r>
      <w:r>
        <w:instrText xml:space="preserve"> HYPERLINK "http://www.legislazionetecnica.it/lt_link/normativa/REwxNDgyMDE3I0ExNyRxdWF0ZXI=" </w:instrText>
      </w:r>
      <w:r>
        <w:fldChar w:fldCharType="separate"/>
      </w:r>
      <w:r>
        <w:rPr>
          <w:rStyle w:val="Collegamentoipertestuale"/>
        </w:rPr>
        <w:t>art. 17-quater del D.L. 148/2017</w:t>
      </w:r>
      <w:r>
        <w:fldChar w:fldCharType="end"/>
      </w:r>
      <w:bookmarkEnd w:id="2"/>
      <w:r>
        <w:t xml:space="preserve">) prevede contributi ai Comuni compresi nelle zone a rischio sismico 1, estesi anche alle zone a rischio sismico 2 ad opera del menzionato </w:t>
      </w:r>
      <w:bookmarkStart w:id="3" w:name="3"/>
      <w:r>
        <w:fldChar w:fldCharType="begin"/>
      </w:r>
      <w:r>
        <w:instrText xml:space="preserve"> HYPERLINK "http://www.legislazionetecnica.it/lt_link/normativa/REwxNDgyMDE3I0ExNyRxdWF0ZXI=" </w:instrText>
      </w:r>
      <w:r>
        <w:fldChar w:fldCharType="separate"/>
      </w:r>
      <w:r>
        <w:rPr>
          <w:rStyle w:val="Collegamentoipertestuale"/>
        </w:rPr>
        <w:t>art. 17-quater del D.L. 148/2017</w:t>
      </w:r>
      <w:r>
        <w:fldChar w:fldCharType="end"/>
      </w:r>
      <w:bookmarkEnd w:id="3"/>
      <w:r>
        <w:t xml:space="preserve">, per la copertura delle </w:t>
      </w:r>
      <w:r>
        <w:rPr>
          <w:rStyle w:val="Enfasigrassetto"/>
        </w:rPr>
        <w:t>spese di progettazione definitiva ed esecutiva per interventi di miglioramento e di adeguamento antisismico di immobili pubblici e messa in sicurezza del territorio dal dissesto idrogeologico</w:t>
      </w:r>
      <w:r>
        <w:t xml:space="preserve">, nel limite complessivo di </w:t>
      </w:r>
      <w:r>
        <w:rPr>
          <w:rStyle w:val="Enfasigrassetto"/>
        </w:rPr>
        <w:t>55 milioni di Euro per il biennio 2018-2019</w:t>
      </w:r>
      <w:r>
        <w:t>.</w:t>
      </w:r>
    </w:p>
    <w:p w:rsidR="00926E09" w:rsidRDefault="00926E09" w:rsidP="00926E09">
      <w:pPr>
        <w:pStyle w:val="NormaleWeb"/>
      </w:pPr>
      <w:r>
        <w:rPr>
          <w:rStyle w:val="Enfasigrassetto"/>
        </w:rPr>
        <w:t xml:space="preserve">SCADENZE E CONTENUTI DELLE ISTANZE - </w:t>
      </w:r>
      <w:r>
        <w:t xml:space="preserve">I Comuni presentano al Ministero dell'interno le </w:t>
      </w:r>
      <w:r>
        <w:rPr>
          <w:rStyle w:val="Enfasigrassetto"/>
        </w:rPr>
        <w:t>richieste</w:t>
      </w:r>
      <w:r>
        <w:t xml:space="preserve"> di contributo, contenenti le informazioni riferite al livello progettuale per il quale si chiede il contributo e al Codice unico di progetto (CUP), </w:t>
      </w:r>
      <w:r>
        <w:rPr>
          <w:rStyle w:val="Enfasigrassetto"/>
        </w:rPr>
        <w:t>entro il termine perentorio del</w:t>
      </w:r>
      <w:r>
        <w:t xml:space="preserve"> </w:t>
      </w:r>
      <w:r>
        <w:rPr>
          <w:rStyle w:val="Enfasigrassetto"/>
        </w:rPr>
        <w:t>15/06/2018 e del 15/06/2019</w:t>
      </w:r>
      <w:r>
        <w:t xml:space="preserve"> rispettivamente per ciascuna delle due annualità.</w:t>
      </w:r>
      <w:r>
        <w:br/>
        <w:t>Inoltre, per le richieste presentate a partire dal 2018:</w:t>
      </w:r>
      <w:r>
        <w:br/>
      </w:r>
      <w:r>
        <w:rPr>
          <w:rStyle w:val="Enfasicorsivo"/>
        </w:rPr>
        <w:t>a)</w:t>
      </w:r>
      <w:r>
        <w:t xml:space="preserve"> la richiesta deve contenere le informazioni necessarie per permettere il monitoraggio complessivo degli interventi di miglioramento e adeguamento antisismico di immobili pubblici e di messa in sicurezza del territorio dal dissesto idrogeologico, in caso di contributo per la relativa progettazione;</w:t>
      </w:r>
      <w:r>
        <w:br/>
      </w:r>
      <w:r>
        <w:rPr>
          <w:rStyle w:val="Enfasicorsivo"/>
        </w:rPr>
        <w:t>b)</w:t>
      </w:r>
      <w:r>
        <w:t xml:space="preserve"> </w:t>
      </w:r>
      <w:r>
        <w:rPr>
          <w:rStyle w:val="Enfasigrassetto"/>
        </w:rPr>
        <w:t>ciascun comune può inviare fino ad un massimo di tre richieste</w:t>
      </w:r>
      <w:r>
        <w:t xml:space="preserve"> di contributo per la stessa annualità;</w:t>
      </w:r>
      <w:r>
        <w:br/>
      </w:r>
      <w:r>
        <w:rPr>
          <w:rStyle w:val="Enfasicorsivo"/>
        </w:rPr>
        <w:t>c)</w:t>
      </w:r>
      <w:r>
        <w:t xml:space="preserve"> la progettazione deve riferirsi, nell'ambito della pianificazione comunale, a un </w:t>
      </w:r>
      <w:r>
        <w:rPr>
          <w:rStyle w:val="Enfasigrassetto"/>
        </w:rPr>
        <w:t>intervento compreso negli strumenti programmatori del medesimo comune o in altro strumento di programmazione</w:t>
      </w:r>
      <w:r>
        <w:t>.</w:t>
      </w:r>
    </w:p>
    <w:p w:rsidR="00926E09" w:rsidRDefault="00926E09" w:rsidP="00926E09">
      <w:pPr>
        <w:pStyle w:val="NormaleWeb"/>
      </w:pPr>
      <w:r>
        <w:rPr>
          <w:rStyle w:val="Enfasigrassetto"/>
        </w:rPr>
        <w:t xml:space="preserve">MODULISTICA - </w:t>
      </w:r>
      <w:r>
        <w:t xml:space="preserve">Il </w:t>
      </w:r>
      <w:bookmarkStart w:id="4" w:name="4"/>
      <w:r>
        <w:rPr>
          <w:rStyle w:val="Enfasigrassetto"/>
        </w:rPr>
        <w:fldChar w:fldCharType="begin"/>
      </w:r>
      <w:r>
        <w:rPr>
          <w:rStyle w:val="Enfasigrassetto"/>
        </w:rPr>
        <w:instrText xml:space="preserve"> HYPERLINK "http://www.legislazionetecnica.it/lt_link/normativa/RE1JMjFMMjAxNw==" </w:instrText>
      </w:r>
      <w:r>
        <w:rPr>
          <w:rStyle w:val="Enfasigrassetto"/>
        </w:rPr>
        <w:fldChar w:fldCharType="separate"/>
      </w:r>
      <w:r>
        <w:rPr>
          <w:rStyle w:val="Collegamentoipertestuale"/>
          <w:b/>
          <w:bCs/>
        </w:rPr>
        <w:t>D.M. 21/07/2017</w:t>
      </w:r>
      <w:r>
        <w:rPr>
          <w:rStyle w:val="Enfasigrassetto"/>
        </w:rPr>
        <w:fldChar w:fldCharType="end"/>
      </w:r>
      <w:bookmarkEnd w:id="4"/>
      <w:r>
        <w:t xml:space="preserve"> ha approvato il </w:t>
      </w:r>
      <w:r>
        <w:rPr>
          <w:rStyle w:val="Enfasigrassetto"/>
        </w:rPr>
        <w:t>modello di certificazione informatizzato</w:t>
      </w:r>
      <w:r>
        <w:t>, con il quale i comuni compresi nelle zone a rischio sismico 1 comunicano la richiesta di contributo, e ne ha fissato modalità e termini di trasmissione (che coincidono con quelli già previsti dall’</w:t>
      </w:r>
      <w:bookmarkStart w:id="5" w:name="5"/>
      <w:r>
        <w:fldChar w:fldCharType="begin"/>
      </w:r>
      <w:r>
        <w:instrText xml:space="preserve"> HYPERLINK "http://www.legislazionetecnica.it/lt_link/normativa/REw1MDIwMTcjQTQxJGJpcw==" </w:instrText>
      </w:r>
      <w:r>
        <w:fldChar w:fldCharType="separate"/>
      </w:r>
      <w:r>
        <w:rPr>
          <w:rStyle w:val="Collegamentoipertestuale"/>
        </w:rPr>
        <w:t>art. 41-bis del D.L. 50/2017</w:t>
      </w:r>
      <w:r>
        <w:fldChar w:fldCharType="end"/>
      </w:r>
      <w:bookmarkEnd w:id="5"/>
      <w:r>
        <w:t>: 15 settembre per l'anno 2017 e 15 giugno per gli anni 2018 e 2019).</w:t>
      </w:r>
    </w:p>
    <w:p w:rsidR="00926E09" w:rsidRDefault="00926E09" w:rsidP="00926E09">
      <w:pPr>
        <w:pStyle w:val="NormaleWeb"/>
      </w:pPr>
      <w:r>
        <w:rPr>
          <w:rStyle w:val="Enfasigrassetto"/>
        </w:rPr>
        <w:t xml:space="preserve">CRITERI PER LA DETERMINAZIONE DEL CONTRIBUTO - </w:t>
      </w:r>
      <w:r>
        <w:t xml:space="preserve">L'ammontare del contributo attribuito a ciascun comune è determinato tenendo conto delle seguenti </w:t>
      </w:r>
      <w:proofErr w:type="gramStart"/>
      <w:r>
        <w:t>priorità:</w:t>
      </w:r>
      <w:r>
        <w:br/>
      </w:r>
      <w:r>
        <w:rPr>
          <w:rStyle w:val="Enfasicorsivo"/>
        </w:rPr>
        <w:t>a</w:t>
      </w:r>
      <w:proofErr w:type="gramEnd"/>
      <w:r>
        <w:rPr>
          <w:rStyle w:val="Enfasicorsivo"/>
        </w:rPr>
        <w:t xml:space="preserve">) </w:t>
      </w:r>
      <w:r>
        <w:t>progettazione per investimenti riferiti ad interventi di miglioramento e di adeguamento antisismico degli immobili pubblici costruiti con calcestruzzo prima del 1971 o in muratura portante. In tal caso il finanziamento riguarda anche le spese di verifica della vulnerabilità sismica, da effettuare contestualmente alla progettazione;</w:t>
      </w:r>
      <w:r>
        <w:br/>
      </w:r>
      <w:r>
        <w:rPr>
          <w:rStyle w:val="Enfasicorsivo"/>
        </w:rPr>
        <w:t xml:space="preserve">b) </w:t>
      </w:r>
      <w:r>
        <w:t>progettazione per investimenti riferiti ad interventi di miglioramento e di adeguamento antisismico degli immobili pubblici sulla base di verifica della vulnerabilità sismica già effettuata;</w:t>
      </w:r>
      <w:r>
        <w:br/>
      </w:r>
      <w:r>
        <w:rPr>
          <w:rStyle w:val="Enfasicorsivo"/>
        </w:rPr>
        <w:t xml:space="preserve">c) </w:t>
      </w:r>
      <w:r>
        <w:t>progettazione per interventi di messa in sicurezza del territorio dal dissesto idrogeologico.</w:t>
      </w:r>
      <w:r>
        <w:br/>
        <w:t xml:space="preserve">Ferme restando le predette priorità, se l'entità delle richieste pervenute supera l'ammontare delle risorse disponibili, l'attribuzione è effettuata a favore dei Comuni che presentano la maggiore </w:t>
      </w:r>
      <w:proofErr w:type="gramStart"/>
      <w:r>
        <w:t>incidenza</w:t>
      </w:r>
      <w:proofErr w:type="gramEnd"/>
      <w:r>
        <w:t xml:space="preserve"> del fondo di cassa al 31 dicembre dell'esercizio precedente rispetto al risultato di amministrazione risultante dal rendiconto di gestione del medesimo esercizio.</w:t>
      </w:r>
    </w:p>
    <w:p w:rsidR="0023055A" w:rsidRDefault="00926E09" w:rsidP="00CD17D7">
      <w:pPr>
        <w:pStyle w:val="NormaleWeb"/>
      </w:pPr>
      <w:r>
        <w:rPr>
          <w:rStyle w:val="Enfasigrassetto"/>
        </w:rPr>
        <w:t xml:space="preserve">TERMINI PER L'AFFIDAMENTO DELLA PROGETTAZIONE - </w:t>
      </w:r>
      <w:r>
        <w:t xml:space="preserve">I Comuni destinatari dei fondi sono tenuti ad </w:t>
      </w:r>
      <w:r>
        <w:rPr>
          <w:rStyle w:val="Enfasigrassetto"/>
        </w:rPr>
        <w:t>affidare la progettazione entro 3 mesi</w:t>
      </w:r>
      <w:r>
        <w:t xml:space="preserve"> dalla data del decreto che determina l'ammontare del contributo concesso a ciascun Comune (</w:t>
      </w:r>
      <w:bookmarkStart w:id="6" w:name="6"/>
      <w:r>
        <w:fldChar w:fldCharType="begin"/>
      </w:r>
      <w:r>
        <w:instrText xml:space="preserve"> HYPERLINK "http://www.legislazionetecnica.it/lt_link/normativa/REw1MDIwMTcjQTQxJGJpcw==" </w:instrText>
      </w:r>
      <w:r>
        <w:fldChar w:fldCharType="separate"/>
      </w:r>
      <w:r>
        <w:rPr>
          <w:rStyle w:val="Collegamentoipertestuale"/>
        </w:rPr>
        <w:t>art. 41-bis del D.L. 50/2017</w:t>
      </w:r>
      <w:r>
        <w:fldChar w:fldCharType="end"/>
      </w:r>
      <w:bookmarkEnd w:id="6"/>
      <w:r>
        <w:t>, comma 6).</w:t>
      </w:r>
      <w:r>
        <w:br/>
      </w:r>
      <w:r>
        <w:rPr>
          <w:rStyle w:val="Enfasigrassetto"/>
        </w:rPr>
        <w:t>In assenza dell’affidamento della progettazione</w:t>
      </w:r>
      <w:r>
        <w:t xml:space="preserve"> da parte del Comune, nei termini previsti sopra indicati, </w:t>
      </w:r>
      <w:r>
        <w:rPr>
          <w:rStyle w:val="Enfasigrassetto"/>
        </w:rPr>
        <w:t>il contributo è recuperato dal Ministero dell'interno</w:t>
      </w:r>
      <w:r>
        <w:t xml:space="preserve"> secondo le modalità di cui all'</w:t>
      </w:r>
      <w:bookmarkStart w:id="7" w:name="7"/>
      <w:r>
        <w:fldChar w:fldCharType="begin"/>
      </w:r>
      <w:r>
        <w:instrText xml:space="preserve"> HYPERLINK "http://www.legislazionetecnica.it/lt_link/normativa/TDIyODIwMTIjQTE=" </w:instrText>
      </w:r>
      <w:r>
        <w:fldChar w:fldCharType="separate"/>
      </w:r>
      <w:r>
        <w:rPr>
          <w:rStyle w:val="Collegamentoipertestuale"/>
        </w:rPr>
        <w:t>art. 1 della L. 24/12/2012, n. 228</w:t>
      </w:r>
      <w:r>
        <w:fldChar w:fldCharType="end"/>
      </w:r>
      <w:bookmarkEnd w:id="7"/>
      <w:r>
        <w:t xml:space="preserve"> (commi 128 e 129). La </w:t>
      </w:r>
      <w:r>
        <w:rPr>
          <w:rStyle w:val="Enfasigrassetto"/>
        </w:rPr>
        <w:t xml:space="preserve">verifica </w:t>
      </w:r>
      <w:r>
        <w:t xml:space="preserve">delle attività di progettazione e dei relativi adempimenti avviene attraverso il sistema di monitoraggio delle opere pubbliche della banca dati delle pubbliche amministrazioni ai sensi del </w:t>
      </w:r>
      <w:bookmarkStart w:id="8" w:name="8"/>
      <w:r>
        <w:fldChar w:fldCharType="begin"/>
      </w:r>
      <w:r>
        <w:instrText xml:space="preserve"> HYPERLINK "http://www.legislazionetecnica.it/lt_link/normativa/RExHMjI5MjAxMQ==" </w:instrText>
      </w:r>
      <w:r>
        <w:fldChar w:fldCharType="separate"/>
      </w:r>
      <w:r>
        <w:rPr>
          <w:rStyle w:val="Collegamentoipertestuale"/>
        </w:rPr>
        <w:t xml:space="preserve">D. </w:t>
      </w:r>
      <w:proofErr w:type="spellStart"/>
      <w:r>
        <w:rPr>
          <w:rStyle w:val="Collegamentoipertestuale"/>
        </w:rPr>
        <w:t>Leg.vo</w:t>
      </w:r>
      <w:proofErr w:type="spellEnd"/>
      <w:r>
        <w:rPr>
          <w:rStyle w:val="Collegamentoipertestuale"/>
        </w:rPr>
        <w:t xml:space="preserve"> 229/2011</w:t>
      </w:r>
      <w:r>
        <w:fldChar w:fldCharType="end"/>
      </w:r>
      <w:bookmarkEnd w:id="8"/>
      <w:r>
        <w:t>.</w:t>
      </w:r>
      <w:bookmarkStart w:id="9" w:name="_GoBack"/>
      <w:bookmarkEnd w:id="9"/>
    </w:p>
    <w:sectPr w:rsidR="00230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C9"/>
    <w:rsid w:val="0023055A"/>
    <w:rsid w:val="00926E09"/>
    <w:rsid w:val="00CD17D7"/>
    <w:rsid w:val="00D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595E-7223-4FF5-BDFD-3A27987F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2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6E0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26E0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26E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UserRegTosc</dc:creator>
  <cp:keywords/>
  <dc:description/>
  <cp:lastModifiedBy>UserRegTosc</cp:lastModifiedBy>
  <cp:revision>4</cp:revision>
  <dcterms:created xsi:type="dcterms:W3CDTF">2018-02-09T14:26:00Z</dcterms:created>
  <dcterms:modified xsi:type="dcterms:W3CDTF">2018-02-09T15:22:00Z</dcterms:modified>
</cp:coreProperties>
</file>