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AB57" w14:textId="77777777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D2AB8">
        <w:rPr>
          <w:rFonts w:ascii="TimesNewRomanPS-BoldMT" w:hAnsi="TimesNewRomanPS-BoldMT" w:cs="TimesNewRomanPS-BoldMT"/>
          <w:b/>
          <w:bCs/>
          <w:sz w:val="28"/>
          <w:szCs w:val="28"/>
        </w:rPr>
        <w:t>TRIBUNALE DI PISTOIA</w:t>
      </w:r>
    </w:p>
    <w:p w14:paraId="525CE260" w14:textId="77777777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D2AB8">
        <w:rPr>
          <w:rFonts w:ascii="TimesNewRomanPSMT" w:hAnsi="TimesNewRomanPSMT" w:cs="TimesNewRomanPSMT"/>
          <w:sz w:val="28"/>
          <w:szCs w:val="28"/>
        </w:rPr>
        <w:t>Ufficio Esecuzioni Immobiliari</w:t>
      </w:r>
    </w:p>
    <w:p w14:paraId="50655870" w14:textId="77777777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447410A" w14:textId="1B27B7C5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Oggetto: </w:t>
      </w: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sospensione delle procedure esecutive che hanno ad oggetto l’abitazione principale del debitore, ai sensi dell’art. 54 </w:t>
      </w:r>
      <w:r w:rsidRPr="00BD2AB8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ter </w:t>
      </w: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del decreto-legge 17 marzo 2020, n. 18, convertito nella legge 29 aprile 2020, n.27</w:t>
      </w:r>
      <w:r w:rsidR="00ED14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come modificato dall’art.</w:t>
      </w:r>
      <w:r w:rsidR="004E66FF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BD64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3, 14° comma </w:t>
      </w:r>
      <w:r w:rsidR="00ED14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del decreto legge </w:t>
      </w:r>
      <w:r w:rsidR="00BD6416">
        <w:rPr>
          <w:rFonts w:ascii="TimesNewRomanPS-BoldMT" w:hAnsi="TimesNewRomanPS-BoldMT" w:cs="TimesNewRomanPS-BoldMT"/>
          <w:b/>
          <w:bCs/>
          <w:sz w:val="24"/>
          <w:szCs w:val="24"/>
        </w:rPr>
        <w:t>31.12.2020</w:t>
      </w:r>
      <w:r w:rsidR="00ED14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n.1</w:t>
      </w:r>
      <w:r w:rsidR="005B625C">
        <w:rPr>
          <w:rFonts w:ascii="TimesNewRomanPS-BoldMT" w:hAnsi="TimesNewRomanPS-BoldMT" w:cs="TimesNewRomanPS-BoldMT"/>
          <w:b/>
          <w:bCs/>
          <w:sz w:val="24"/>
          <w:szCs w:val="24"/>
        </w:rPr>
        <w:t>83</w:t>
      </w:r>
      <w:r w:rsidR="005849BA"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; indicazioni operative</w:t>
      </w: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6C9719D6" w14:textId="77777777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C714A9" w14:textId="0D70F402" w:rsidR="00A55F64" w:rsidRPr="00BD2AB8" w:rsidRDefault="00A55F64" w:rsidP="00ED145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I Giudici dell</w:t>
      </w:r>
      <w:r w:rsidR="005849BA" w:rsidRPr="00BD2AB8">
        <w:rPr>
          <w:rFonts w:ascii="TimesNewRomanPSMT" w:hAnsi="TimesNewRomanPSMT" w:cs="TimesNewRomanPSMT"/>
          <w:sz w:val="24"/>
          <w:szCs w:val="24"/>
        </w:rPr>
        <w:t xml:space="preserve">e </w:t>
      </w:r>
      <w:r w:rsidRPr="00BD2AB8">
        <w:rPr>
          <w:rFonts w:ascii="TimesNewRomanPSMT" w:hAnsi="TimesNewRomanPSMT" w:cs="TimesNewRomanPSMT"/>
          <w:sz w:val="24"/>
          <w:szCs w:val="24"/>
        </w:rPr>
        <w:t>esecuzion</w:t>
      </w:r>
      <w:r w:rsidR="005849BA" w:rsidRPr="00BD2AB8">
        <w:rPr>
          <w:rFonts w:ascii="TimesNewRomanPSMT" w:hAnsi="TimesNewRomanPSMT" w:cs="TimesNewRomanPSMT"/>
          <w:sz w:val="24"/>
          <w:szCs w:val="24"/>
        </w:rPr>
        <w:t>i immobiliari</w:t>
      </w:r>
      <w:r w:rsidRPr="00BD2AB8">
        <w:rPr>
          <w:rFonts w:ascii="TimesNewRomanPSMT" w:hAnsi="TimesNewRomanPSMT" w:cs="TimesNewRomanPSMT"/>
          <w:sz w:val="24"/>
          <w:szCs w:val="24"/>
        </w:rPr>
        <w:t>,</w:t>
      </w:r>
    </w:p>
    <w:p w14:paraId="1F708338" w14:textId="3333C9DF" w:rsidR="00A55F64" w:rsidRDefault="00ED1457" w:rsidP="00ED1457">
      <w:pPr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letto l’art. </w:t>
      </w:r>
      <w:r w:rsidR="005B625C">
        <w:rPr>
          <w:rFonts w:ascii="TimesNewRomanPSMT" w:hAnsi="TimesNewRomanPSMT" w:cs="TimesNewRomanPSMT"/>
          <w:sz w:val="24"/>
          <w:szCs w:val="24"/>
        </w:rPr>
        <w:t xml:space="preserve">13, 14° comma, </w:t>
      </w:r>
      <w:r>
        <w:rPr>
          <w:rFonts w:ascii="TimesNewRomanPSMT" w:hAnsi="TimesNewRomanPSMT" w:cs="TimesNewRomanPSMT"/>
          <w:sz w:val="24"/>
          <w:szCs w:val="24"/>
        </w:rPr>
        <w:t>del decreto legge n.1</w:t>
      </w:r>
      <w:r w:rsidR="007C5804">
        <w:rPr>
          <w:rFonts w:ascii="TimesNewRomanPSMT" w:hAnsi="TimesNewRomanPSMT" w:cs="TimesNewRomanPSMT"/>
          <w:sz w:val="24"/>
          <w:szCs w:val="24"/>
        </w:rPr>
        <w:t>83</w:t>
      </w:r>
      <w:r>
        <w:rPr>
          <w:rFonts w:ascii="TimesNewRomanPSMT" w:hAnsi="TimesNewRomanPSMT" w:cs="TimesNewRomanPSMT"/>
          <w:sz w:val="24"/>
          <w:szCs w:val="24"/>
        </w:rPr>
        <w:t xml:space="preserve">/2020 che ha modificato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 xml:space="preserve">l’art. 54 </w:t>
      </w:r>
      <w:r w:rsidR="00A55F64"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>del decreto-legge 17 marzo 2020, n. 18, convertito con modificazioni nella legge 24 aprile 2020, n. 27,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457">
        <w:rPr>
          <w:rFonts w:ascii="TimesNewRomanPSMT" w:hAnsi="TimesNewRomanPSMT" w:cs="TimesNewRomanPSMT"/>
          <w:b/>
          <w:sz w:val="24"/>
          <w:szCs w:val="24"/>
        </w:rPr>
        <w:t xml:space="preserve">prorogando sino al </w:t>
      </w:r>
      <w:r w:rsidR="007C5804">
        <w:rPr>
          <w:rFonts w:ascii="TimesNewRomanPSMT" w:hAnsi="TimesNewRomanPSMT" w:cs="TimesNewRomanPSMT"/>
          <w:b/>
          <w:sz w:val="24"/>
          <w:szCs w:val="24"/>
        </w:rPr>
        <w:t>30.6.2021</w:t>
      </w:r>
      <w:r>
        <w:rPr>
          <w:rFonts w:ascii="TimesNewRomanPSMT" w:hAnsi="TimesNewRomanPSMT" w:cs="TimesNewRomanPSMT"/>
          <w:sz w:val="24"/>
          <w:szCs w:val="24"/>
        </w:rPr>
        <w:t xml:space="preserve"> la </w:t>
      </w:r>
      <w:r w:rsidRPr="00ED1457">
        <w:rPr>
          <w:rFonts w:ascii="TimesNewRomanPSMT" w:hAnsi="TimesNewRomanPSMT" w:cs="TimesNewRomanPSMT"/>
          <w:b/>
          <w:sz w:val="24"/>
          <w:szCs w:val="24"/>
        </w:rPr>
        <w:t xml:space="preserve">sospensione di ogni procedura esecutiva che </w:t>
      </w:r>
      <w:r w:rsidR="00A55F64" w:rsidRPr="00ED145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abbia ad oggetto l’abitazione principale del debitore</w:t>
      </w:r>
      <w:r w:rsidR="00A55F64" w:rsidRPr="00ED1457">
        <w:rPr>
          <w:rFonts w:ascii="TimesNewRomanPS-BoldMT" w:hAnsi="TimesNewRomanPS-BoldMT" w:cs="TimesNewRomanPS-BoldMT"/>
          <w:b/>
          <w:bCs/>
          <w:sz w:val="24"/>
          <w:szCs w:val="24"/>
        </w:rPr>
        <w:t>»;</w:t>
      </w:r>
    </w:p>
    <w:p w14:paraId="76059A47" w14:textId="62056B8F" w:rsidR="00ED1457" w:rsidRPr="00C038E4" w:rsidRDefault="00ED1457" w:rsidP="00ED1457">
      <w:pPr>
        <w:spacing w:after="0" w:line="36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>richiamate integralmente</w:t>
      </w:r>
      <w:r w:rsid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</w:t>
      </w:r>
      <w:r w:rsidRP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>le motivazioni dell</w:t>
      </w:r>
      <w:r w:rsidR="007C5804">
        <w:rPr>
          <w:rFonts w:ascii="TimesNewRomanPS-BoldMT" w:hAnsi="TimesNewRomanPS-BoldMT" w:cs="TimesNewRomanPS-BoldMT"/>
          <w:bCs/>
          <w:sz w:val="24"/>
          <w:szCs w:val="24"/>
          <w:u w:val="single"/>
        </w:rPr>
        <w:t>a</w:t>
      </w:r>
      <w:r w:rsidRP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circolare dell’Ufficio </w:t>
      </w:r>
      <w:r w:rsidR="007C5804">
        <w:rPr>
          <w:rFonts w:ascii="TimesNewRomanPS-BoldMT" w:hAnsi="TimesNewRomanPS-BoldMT" w:cs="TimesNewRomanPS-BoldMT"/>
          <w:bCs/>
          <w:sz w:val="24"/>
          <w:szCs w:val="24"/>
          <w:u w:val="single"/>
        </w:rPr>
        <w:t>del 31.10.2020</w:t>
      </w:r>
      <w:r w:rsidRP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, pubblicata sul sito </w:t>
      </w:r>
      <w:r w:rsidRPr="00C038E4">
        <w:rPr>
          <w:rFonts w:ascii="TimesNewRomanPS-BoldMT" w:hAnsi="TimesNewRomanPS-BoldMT" w:cs="TimesNewRomanPS-BoldMT"/>
          <w:bCs/>
          <w:i/>
          <w:sz w:val="24"/>
          <w:szCs w:val="24"/>
          <w:u w:val="single"/>
        </w:rPr>
        <w:t>web</w:t>
      </w:r>
      <w:r w:rsidRPr="00C038E4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del Tribunale di Pistoia;</w:t>
      </w:r>
    </w:p>
    <w:p w14:paraId="3C2E422D" w14:textId="77777777" w:rsidR="00F658C9" w:rsidRPr="00BD2AB8" w:rsidRDefault="00F658C9" w:rsidP="005849B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1BEC53" w14:textId="3162AC1C" w:rsidR="00A55F64" w:rsidRPr="00BD2AB8" w:rsidRDefault="00B5439B" w:rsidP="005849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OSSERVANO</w:t>
      </w:r>
    </w:p>
    <w:p w14:paraId="28461D72" w14:textId="77777777" w:rsidR="003A608F" w:rsidRPr="00BD2AB8" w:rsidRDefault="003A608F" w:rsidP="005849B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D53F14" w14:textId="77777777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I.- I limiti temporali.</w:t>
      </w:r>
    </w:p>
    <w:p w14:paraId="34E1D907" w14:textId="16A88B1E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348362D1">
        <w:rPr>
          <w:rFonts w:ascii="TimesNewRomanPSMT" w:hAnsi="TimesNewRomanPSMT" w:cs="TimesNewRomanPSMT"/>
          <w:sz w:val="24"/>
          <w:szCs w:val="24"/>
        </w:rPr>
        <w:t xml:space="preserve">La sospensione delle procedure esecutive immobiliari di cui all’art. 54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del </w:t>
      </w:r>
      <w:r w:rsidR="00ED1457" w:rsidRPr="348362D1">
        <w:rPr>
          <w:rFonts w:ascii="TimesNewRomanPSMT" w:hAnsi="TimesNewRomanPSMT" w:cs="TimesNewRomanPSMT"/>
          <w:sz w:val="24"/>
          <w:szCs w:val="24"/>
        </w:rPr>
        <w:t>D.L. 18/2020</w:t>
      </w:r>
      <w:r w:rsidR="00C038E4" w:rsidRPr="348362D1">
        <w:rPr>
          <w:rFonts w:ascii="TimesNewRomanPSMT" w:hAnsi="TimesNewRomanPSMT" w:cs="TimesNewRomanPSMT"/>
          <w:sz w:val="24"/>
          <w:szCs w:val="24"/>
        </w:rPr>
        <w:t>,</w:t>
      </w:r>
      <w:r w:rsidR="00ED1457" w:rsidRPr="348362D1">
        <w:rPr>
          <w:rFonts w:ascii="TimesNewRomanPSMT" w:hAnsi="TimesNewRomanPSMT" w:cs="TimesNewRomanPSMT"/>
          <w:sz w:val="24"/>
          <w:szCs w:val="24"/>
        </w:rPr>
        <w:t xml:space="preserve"> come modificato dall’art. </w:t>
      </w:r>
      <w:r w:rsidR="00B65E34">
        <w:rPr>
          <w:rFonts w:ascii="TimesNewRomanPSMT" w:hAnsi="TimesNewRomanPSMT" w:cs="TimesNewRomanPSMT"/>
          <w:sz w:val="24"/>
          <w:szCs w:val="24"/>
        </w:rPr>
        <w:t>1</w:t>
      </w:r>
      <w:r w:rsidR="00ED1457" w:rsidRPr="348362D1">
        <w:rPr>
          <w:rFonts w:ascii="TimesNewRomanPSMT" w:hAnsi="TimesNewRomanPSMT" w:cs="TimesNewRomanPSMT"/>
          <w:sz w:val="24"/>
          <w:szCs w:val="24"/>
        </w:rPr>
        <w:t xml:space="preserve">4 D.L. </w:t>
      </w:r>
      <w:r w:rsidR="00B65E34">
        <w:rPr>
          <w:rFonts w:ascii="TimesNewRomanPSMT" w:hAnsi="TimesNewRomanPSMT" w:cs="TimesNewRomanPSMT"/>
          <w:sz w:val="24"/>
          <w:szCs w:val="24"/>
        </w:rPr>
        <w:t>183/2020</w:t>
      </w:r>
      <w:r w:rsidR="00C038E4" w:rsidRPr="348362D1">
        <w:rPr>
          <w:rFonts w:ascii="TimesNewRomanPSMT" w:hAnsi="TimesNewRomanPSMT" w:cs="TimesNewRomanPSMT"/>
          <w:sz w:val="24"/>
          <w:szCs w:val="24"/>
        </w:rPr>
        <w:t>,</w:t>
      </w:r>
      <w:r w:rsidR="00ED1457" w:rsidRPr="348362D1">
        <w:rPr>
          <w:rFonts w:ascii="TimesNewRomanPSMT" w:hAnsi="TimesNewRomanPSMT" w:cs="TimesNewRomanPSMT"/>
          <w:sz w:val="24"/>
          <w:szCs w:val="24"/>
        </w:rPr>
        <w:t xml:space="preserve"> </w:t>
      </w:r>
      <w:r w:rsidRPr="348362D1">
        <w:rPr>
          <w:rFonts w:ascii="TimesNewRomanPSMT" w:hAnsi="TimesNewRomanPSMT" w:cs="TimesNewRomanPSMT"/>
          <w:sz w:val="24"/>
          <w:szCs w:val="24"/>
        </w:rPr>
        <w:t>termina il 3</w:t>
      </w:r>
      <w:r w:rsidR="005D366E">
        <w:rPr>
          <w:rFonts w:ascii="TimesNewRomanPSMT" w:hAnsi="TimesNewRomanPSMT" w:cs="TimesNewRomanPSMT"/>
          <w:sz w:val="24"/>
          <w:szCs w:val="24"/>
        </w:rPr>
        <w:t>0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</w:t>
      </w:r>
      <w:r w:rsidR="00EA166B">
        <w:rPr>
          <w:rFonts w:ascii="TimesNewRomanPSMT" w:hAnsi="TimesNewRomanPSMT" w:cs="TimesNewRomanPSMT"/>
          <w:sz w:val="24"/>
          <w:szCs w:val="24"/>
        </w:rPr>
        <w:t>giugno 2021</w:t>
      </w:r>
      <w:r w:rsidRPr="348362D1">
        <w:rPr>
          <w:rFonts w:ascii="TimesNewRomanPSMT" w:hAnsi="TimesNewRomanPSMT" w:cs="TimesNewRomanPSMT"/>
          <w:sz w:val="24"/>
          <w:szCs w:val="24"/>
        </w:rPr>
        <w:t>.</w:t>
      </w:r>
    </w:p>
    <w:p w14:paraId="574FB78F" w14:textId="2BDFC23E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Si tratta di sospensione disposta direttamente dalla legge e pertanto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non </w:t>
      </w:r>
      <w:r w:rsidR="6ED6480E" w:rsidRPr="00BD2AB8">
        <w:rPr>
          <w:rFonts w:ascii="TimesNewRomanPSMT" w:hAnsi="TimesNewRomanPSMT" w:cs="TimesNewRomanPSMT"/>
          <w:sz w:val="24"/>
          <w:szCs w:val="24"/>
        </w:rPr>
        <w:t xml:space="preserve">richiede l’adozione </w:t>
      </w:r>
      <w:r w:rsidRPr="00BD2AB8">
        <w:rPr>
          <w:rFonts w:ascii="TimesNewRomanPSMT" w:hAnsi="TimesNewRomanPSMT" w:cs="TimesNewRomanPSMT"/>
          <w:sz w:val="24"/>
          <w:szCs w:val="24"/>
        </w:rPr>
        <w:t>d</w:t>
      </w:r>
      <w:r w:rsidR="43A4BAC1" w:rsidRPr="00BD2AB8">
        <w:rPr>
          <w:rFonts w:ascii="TimesNewRomanPSMT" w:hAnsi="TimesNewRomanPSMT" w:cs="TimesNewRomanPSMT"/>
          <w:sz w:val="24"/>
          <w:szCs w:val="24"/>
        </w:rPr>
        <w:t>i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un provvedimento espresso del G.E., 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>il quale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p</w:t>
      </w:r>
      <w:r w:rsidR="032D30DE" w:rsidRPr="00BD2AB8">
        <w:rPr>
          <w:rFonts w:ascii="TimesNewRomanPSMT" w:hAnsi="TimesNewRomanPSMT" w:cs="TimesNewRomanPSMT"/>
          <w:sz w:val="24"/>
          <w:szCs w:val="24"/>
        </w:rPr>
        <w:t xml:space="preserve">otrà </w:t>
      </w:r>
      <w:r w:rsidRPr="00BD2AB8">
        <w:rPr>
          <w:rFonts w:ascii="TimesNewRomanPSMT" w:hAnsi="TimesNewRomanPSMT" w:cs="TimesNewRomanPSMT"/>
          <w:sz w:val="24"/>
          <w:szCs w:val="24"/>
        </w:rPr>
        <w:t>limitarsi a darne atto, ove venga investito di apposita istanza delle parti o segnalazione di un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561A4FE5" w:rsidRPr="00BD2AB8">
        <w:rPr>
          <w:rFonts w:ascii="TimesNewRomanPSMT" w:hAnsi="TimesNewRomanPSMT" w:cs="TimesNewRomanPSMT"/>
          <w:sz w:val="24"/>
          <w:szCs w:val="24"/>
        </w:rPr>
        <w:t>a</w:t>
      </w:r>
      <w:r w:rsidRPr="00BD2AB8">
        <w:rPr>
          <w:rFonts w:ascii="TimesNewRomanPSMT" w:hAnsi="TimesNewRomanPSMT" w:cs="TimesNewRomanPSMT"/>
          <w:sz w:val="24"/>
          <w:szCs w:val="24"/>
        </w:rPr>
        <w:t>usiliario della procedura.</w:t>
      </w:r>
    </w:p>
    <w:p w14:paraId="2841D6DF" w14:textId="77777777" w:rsidR="00772153" w:rsidRPr="00BD2AB8" w:rsidRDefault="00772153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0DCEE66" w14:textId="77777777" w:rsidR="00772153" w:rsidRPr="00BD2AB8" w:rsidRDefault="00772153" w:rsidP="005849B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2AB8">
        <w:rPr>
          <w:rFonts w:ascii="TimesNewRomanPS-BoldMT" w:hAnsi="TimesNewRomanPS-BoldMT" w:cs="TimesNewRomanPS-BoldMT"/>
          <w:b/>
          <w:bCs/>
          <w:sz w:val="24"/>
          <w:szCs w:val="24"/>
        </w:rPr>
        <w:t>II.- Il profilo oggettivo della sospensione.</w:t>
      </w:r>
    </w:p>
    <w:p w14:paraId="36B27A2D" w14:textId="3ABCE767" w:rsidR="00772153" w:rsidRPr="00BD2AB8" w:rsidRDefault="00772153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La sospensione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art. 54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riguarda tutte le procedure che hanno ad oggetto l’abitazione principale del 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>soggetto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esecutato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 xml:space="preserve"> con 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le 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 xml:space="preserve">relative 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pertinenze 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>(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>quali box-auto o locali deposito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>).</w:t>
      </w:r>
    </w:p>
    <w:p w14:paraId="7805CFE3" w14:textId="5145B6D3" w:rsidR="00035EDD" w:rsidRPr="00BD2AB8" w:rsidRDefault="4BEE9DA3" w:rsidP="7D739E4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trike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P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>er “</w:t>
      </w:r>
      <w:r w:rsidR="00772153" w:rsidRPr="00BD2AB8">
        <w:rPr>
          <w:rFonts w:ascii="TimesNewRomanPSMT" w:hAnsi="TimesNewRomanPSMT" w:cs="TimesNewRomanPSMT"/>
          <w:b/>
          <w:bCs/>
          <w:sz w:val="24"/>
          <w:szCs w:val="24"/>
        </w:rPr>
        <w:t>abitazione principale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>” deve intendersi</w:t>
      </w:r>
      <w:r w:rsidR="00B5439B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D831B9" w:rsidRPr="00BD2AB8">
        <w:rPr>
          <w:rFonts w:ascii="TimesNewRomanPSMT" w:hAnsi="TimesNewRomanPSMT" w:cs="TimesNewRomanPSMT"/>
          <w:sz w:val="24"/>
          <w:szCs w:val="24"/>
        </w:rPr>
        <w:t xml:space="preserve">l'immobile, </w:t>
      </w:r>
      <w:r w:rsidR="2D3543F2" w:rsidRPr="00BD2AB8">
        <w:rPr>
          <w:rFonts w:ascii="TimesNewRomanPSMT" w:hAnsi="TimesNewRomanPSMT" w:cs="TimesNewRomanPSMT"/>
          <w:sz w:val="24"/>
          <w:szCs w:val="24"/>
        </w:rPr>
        <w:t>accatastato come ad uso</w:t>
      </w:r>
      <w:r w:rsidR="7F5CA05A" w:rsidRPr="00BD2AB8">
        <w:rPr>
          <w:rFonts w:ascii="TimesNewRomanPSMT" w:hAnsi="TimesNewRomanPSMT" w:cs="TimesNewRomanPSMT"/>
          <w:sz w:val="24"/>
          <w:szCs w:val="24"/>
        </w:rPr>
        <w:t xml:space="preserve"> abitativo</w:t>
      </w:r>
      <w:r w:rsidR="6EAA8584" w:rsidRPr="00BD2AB8">
        <w:rPr>
          <w:rFonts w:ascii="TimesNewRomanPSMT" w:hAnsi="TimesNewRomanPSMT" w:cs="TimesNewRomanPSMT"/>
          <w:sz w:val="24"/>
          <w:szCs w:val="24"/>
        </w:rPr>
        <w:t>,</w:t>
      </w:r>
      <w:r w:rsidR="00D831B9" w:rsidRPr="00BD2AB8">
        <w:rPr>
          <w:rFonts w:ascii="TimesNewRomanPSMT" w:hAnsi="TimesNewRomanPSMT" w:cs="TimesNewRomanPSMT"/>
          <w:sz w:val="24"/>
          <w:szCs w:val="24"/>
        </w:rPr>
        <w:t xml:space="preserve"> nel quale il </w:t>
      </w:r>
      <w:r w:rsidR="49C5555E" w:rsidRPr="00BD2AB8">
        <w:rPr>
          <w:rFonts w:ascii="TimesNewRomanPSMT" w:hAnsi="TimesNewRomanPSMT" w:cs="TimesNewRomanPSMT"/>
          <w:sz w:val="24"/>
          <w:szCs w:val="24"/>
        </w:rPr>
        <w:t xml:space="preserve">debitore (o il terzo) esecutato ed </w:t>
      </w:r>
      <w:r w:rsidR="00D831B9" w:rsidRPr="00BD2AB8">
        <w:rPr>
          <w:rFonts w:ascii="TimesNewRomanPSMT" w:hAnsi="TimesNewRomanPSMT" w:cs="TimesNewRomanPSMT"/>
          <w:sz w:val="24"/>
          <w:szCs w:val="24"/>
        </w:rPr>
        <w:t>il suo nucleo familiare dimorano abitualmente</w:t>
      </w:r>
      <w:r w:rsidR="00BD2AB8" w:rsidRPr="00BD2AB8">
        <w:rPr>
          <w:rFonts w:ascii="TimesNewRomanPSMT" w:hAnsi="TimesNewRomanPSMT" w:cs="TimesNewRomanPSMT"/>
          <w:sz w:val="24"/>
          <w:szCs w:val="24"/>
        </w:rPr>
        <w:t>.</w:t>
      </w:r>
    </w:p>
    <w:p w14:paraId="12051DF8" w14:textId="3E7A55AF" w:rsidR="00772153" w:rsidRPr="00BD2AB8" w:rsidRDefault="00772153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La destinazione ad abitazione principale deve sussistere </w:t>
      </w:r>
      <w:r w:rsidRPr="00085C90">
        <w:rPr>
          <w:rFonts w:ascii="TimesNewRomanPSMT" w:hAnsi="TimesNewRomanPSMT" w:cs="TimesNewRomanPSMT"/>
          <w:sz w:val="24"/>
          <w:szCs w:val="24"/>
          <w:u w:val="single"/>
        </w:rPr>
        <w:t>sia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al momento della notifica del pignoramento </w:t>
      </w:r>
      <w:r w:rsidRPr="00085C90">
        <w:rPr>
          <w:rFonts w:ascii="TimesNewRomanPSMT" w:hAnsi="TimesNewRomanPSMT" w:cs="TimesNewRomanPSMT"/>
          <w:sz w:val="24"/>
          <w:szCs w:val="24"/>
          <w:u w:val="single"/>
        </w:rPr>
        <w:t>sia</w:t>
      </w:r>
      <w:r w:rsidR="00085C90">
        <w:rPr>
          <w:rFonts w:ascii="TimesNewRomanPSMT" w:hAnsi="TimesNewRomanPSMT" w:cs="TimesNewRomanPSMT"/>
          <w:sz w:val="24"/>
          <w:szCs w:val="24"/>
        </w:rPr>
        <w:t xml:space="preserve"> al momento attuale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95B7926" w14:textId="43303688" w:rsidR="00772153" w:rsidRPr="00BD2AB8" w:rsidRDefault="00772153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lastRenderedPageBreak/>
        <w:t xml:space="preserve">La sospensione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art. 54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Pr="00BD2AB8">
        <w:rPr>
          <w:rFonts w:ascii="TimesNewRomanPSMT" w:hAnsi="TimesNewRomanPSMT" w:cs="TimesNewRomanPSMT"/>
          <w:sz w:val="24"/>
          <w:szCs w:val="24"/>
        </w:rPr>
        <w:t>non trova applicazione nel caso in cui l’immobile al momento del pignoramento o successivamente sia stato adibito a dimora principale di persone diverse dal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 soggetto </w:t>
      </w:r>
      <w:r w:rsidRPr="00BD2AB8">
        <w:rPr>
          <w:rFonts w:ascii="TimesNewRomanPSMT" w:hAnsi="TimesNewRomanPSMT" w:cs="TimesNewRomanPSMT"/>
          <w:sz w:val="24"/>
          <w:szCs w:val="24"/>
        </w:rPr>
        <w:t>esecutato, ancorché a questi legate da rapporti di parentela o di coniugio.</w:t>
      </w:r>
    </w:p>
    <w:p w14:paraId="7543A0A3" w14:textId="126B554A" w:rsidR="00772153" w:rsidRPr="00BD2AB8" w:rsidRDefault="00772153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Nel caso siano pignorati anche beni diversi dall’abitazione principale del debitore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 (e dalle sue pertinenze)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, la procedura esecutiva prosegue per detti beni. </w:t>
      </w:r>
    </w:p>
    <w:p w14:paraId="3AB3A6CA" w14:textId="77777777" w:rsidR="00125B0C" w:rsidRPr="00BD2AB8" w:rsidRDefault="00125B0C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767464" w14:textId="4F3651ED" w:rsidR="00772153" w:rsidRPr="00BD2AB8" w:rsidRDefault="002BA2EB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A) 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 xml:space="preserve">La sospensione ha ad oggetto </w:t>
      </w:r>
      <w:r w:rsidR="00CD163F" w:rsidRPr="00BD2AB8">
        <w:rPr>
          <w:rFonts w:ascii="TimesNewRomanPSMT" w:hAnsi="TimesNewRomanPSMT" w:cs="TimesNewRomanPSMT"/>
          <w:sz w:val="24"/>
          <w:szCs w:val="24"/>
        </w:rPr>
        <w:t xml:space="preserve">le 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 xml:space="preserve">attività (di udienza o </w:t>
      </w:r>
      <w:r w:rsidR="00772153"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extra 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>udienza)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772153" w:rsidRPr="00BD2AB8">
        <w:rPr>
          <w:rFonts w:ascii="TimesNewRomanPSMT" w:hAnsi="TimesNewRomanPSMT" w:cs="TimesNewRomanPSMT"/>
          <w:sz w:val="24"/>
          <w:szCs w:val="24"/>
        </w:rPr>
        <w:t>del processo esecutivo</w:t>
      </w:r>
      <w:r w:rsidR="3B5912EE" w:rsidRPr="00BD2AB8">
        <w:rPr>
          <w:rFonts w:ascii="TimesNewRomanPSMT" w:hAnsi="TimesNewRomanPSMT" w:cs="TimesNewRomanPSMT"/>
          <w:sz w:val="24"/>
          <w:szCs w:val="24"/>
        </w:rPr>
        <w:t xml:space="preserve"> direttamente </w:t>
      </w:r>
      <w:r w:rsidR="00C868CE" w:rsidRPr="00BD2AB8">
        <w:rPr>
          <w:rFonts w:ascii="TimesNewRomanPSMT" w:hAnsi="TimesNewRomanPSMT" w:cs="TimesNewRomanPSMT"/>
          <w:sz w:val="24"/>
          <w:szCs w:val="24"/>
        </w:rPr>
        <w:t>funzionali alla liquidazione del</w:t>
      </w:r>
      <w:r w:rsidR="0D06A0FE" w:rsidRPr="00BD2AB8">
        <w:rPr>
          <w:rFonts w:ascii="TimesNewRomanPSMT" w:hAnsi="TimesNewRomanPSMT" w:cs="TimesNewRomanPSMT"/>
          <w:sz w:val="24"/>
          <w:szCs w:val="24"/>
        </w:rPr>
        <w:t>l’abitazione principale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15BFED0" w14:textId="6B0E8541" w:rsidR="00035EDD" w:rsidRPr="00BD2AB8" w:rsidRDefault="00035EDD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In particolar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e, </w:t>
      </w:r>
      <w:r w:rsidR="007D5A1A" w:rsidRPr="00BD2AB8">
        <w:rPr>
          <w:rFonts w:ascii="TimesNewRomanPSMT" w:hAnsi="TimesNewRomanPSMT" w:cs="TimesNewRomanPSMT"/>
          <w:b/>
          <w:bCs/>
          <w:sz w:val="24"/>
          <w:szCs w:val="24"/>
        </w:rPr>
        <w:t>sono inclusi nella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>sospensione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art. 54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>ter</w:t>
      </w:r>
      <w:r w:rsidRPr="00BD2AB8">
        <w:rPr>
          <w:rFonts w:ascii="TimesNewRomanPSMT" w:hAnsi="TimesNewRomanPSMT" w:cs="TimesNewRomanPSMT"/>
          <w:sz w:val="24"/>
          <w:szCs w:val="24"/>
        </w:rPr>
        <w:t>:</w:t>
      </w:r>
    </w:p>
    <w:p w14:paraId="42C229FB" w14:textId="64ADB3C2" w:rsidR="003B504C" w:rsidRPr="00BD2AB8" w:rsidRDefault="007D5A1A" w:rsidP="7D739E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Theme="minorEastAsia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la 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>nom</w:t>
      </w:r>
      <w:r w:rsidR="0DAC476D" w:rsidRPr="00BD2AB8">
        <w:rPr>
          <w:rFonts w:ascii="TimesNewRomanPSMT" w:hAnsi="TimesNewRomanPSMT" w:cs="TimesNewRomanPSMT"/>
          <w:sz w:val="24"/>
          <w:szCs w:val="24"/>
        </w:rPr>
        <w:t>i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na dell’esperto stimatore e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la </w:t>
      </w:r>
      <w:r w:rsidR="00AC66AF" w:rsidRPr="00BD2AB8">
        <w:rPr>
          <w:rFonts w:ascii="TimesNewRomanPSMT" w:hAnsi="TimesNewRomanPSMT" w:cs="TimesNewRomanPSMT"/>
          <w:sz w:val="24"/>
          <w:szCs w:val="24"/>
        </w:rPr>
        <w:t xml:space="preserve">celebrazione dell’udienza </w:t>
      </w:r>
      <w:r w:rsidR="00F10AD7" w:rsidRPr="00085C90">
        <w:rPr>
          <w:rFonts w:ascii="TimesNewRomanPSMT" w:hAnsi="TimesNewRomanPSMT" w:cs="TimesNewRomanPSMT"/>
          <w:i/>
          <w:sz w:val="24"/>
          <w:szCs w:val="24"/>
        </w:rPr>
        <w:t>ex</w:t>
      </w:r>
      <w:r w:rsidR="00F10AD7" w:rsidRPr="00BD2AB8">
        <w:rPr>
          <w:rFonts w:ascii="TimesNewRomanPSMT" w:hAnsi="TimesNewRomanPSMT" w:cs="TimesNewRomanPSMT"/>
          <w:sz w:val="24"/>
          <w:szCs w:val="24"/>
        </w:rPr>
        <w:t xml:space="preserve"> artt. </w:t>
      </w:r>
      <w:r w:rsidR="00035EDD" w:rsidRPr="00BD2AB8">
        <w:rPr>
          <w:rFonts w:ascii="TimesNewRomanPSMT" w:hAnsi="TimesNewRomanPSMT" w:cs="TimesNewRomanPSMT"/>
        </w:rPr>
        <w:t>569 / 600 c</w:t>
      </w:r>
      <w:r w:rsidR="00085C90">
        <w:rPr>
          <w:rFonts w:ascii="TimesNewRomanPSMT" w:hAnsi="TimesNewRomanPSMT" w:cs="TimesNewRomanPSMT"/>
        </w:rPr>
        <w:t>.</w:t>
      </w:r>
      <w:r w:rsidR="00035EDD" w:rsidRPr="00BD2AB8">
        <w:rPr>
          <w:rFonts w:ascii="TimesNewRomanPSMT" w:hAnsi="TimesNewRomanPSMT" w:cs="TimesNewRomanPSMT"/>
        </w:rPr>
        <w:t>p</w:t>
      </w:r>
      <w:r w:rsidR="00085C90">
        <w:rPr>
          <w:rFonts w:ascii="TimesNewRomanPSMT" w:hAnsi="TimesNewRomanPSMT" w:cs="TimesNewRomanPSMT"/>
        </w:rPr>
        <w:t>.</w:t>
      </w:r>
      <w:r w:rsidR="00035EDD" w:rsidRPr="00BD2AB8">
        <w:rPr>
          <w:rFonts w:ascii="TimesNewRomanPSMT" w:hAnsi="TimesNewRomanPSMT" w:cs="TimesNewRomanPSMT"/>
        </w:rPr>
        <w:t>c</w:t>
      </w:r>
      <w:r w:rsidR="00085C90">
        <w:rPr>
          <w:rFonts w:ascii="TimesNewRomanPSMT" w:hAnsi="TimesNewRomanPSMT" w:cs="TimesNewRomanPSMT"/>
        </w:rPr>
        <w:t>.</w:t>
      </w:r>
      <w:r w:rsidR="00035EDD" w:rsidRPr="00BD2AB8">
        <w:rPr>
          <w:rFonts w:ascii="TimesNewRomanPSMT" w:hAnsi="TimesNewRomanPSMT" w:cs="TimesNewRomanPSMT"/>
        </w:rPr>
        <w:t>;</w:t>
      </w:r>
    </w:p>
    <w:p w14:paraId="1456C0DD" w14:textId="0A7F1CFC" w:rsidR="003B504C" w:rsidRPr="00BD2AB8" w:rsidRDefault="00035EDD" w:rsidP="00085C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BD2AB8">
        <w:rPr>
          <w:rFonts w:ascii="TimesNewRomanPSMT" w:hAnsi="TimesNewRomanPSMT" w:cs="TimesNewRomanPSMT"/>
        </w:rPr>
        <w:t xml:space="preserve"> </w:t>
      </w:r>
      <w:r w:rsidR="00085C90">
        <w:rPr>
          <w:rFonts w:ascii="TimesNewRomanPSMT" w:hAnsi="TimesNewRomanPSMT" w:cs="TimesNewRomanPSMT"/>
          <w:sz w:val="24"/>
          <w:szCs w:val="24"/>
        </w:rPr>
        <w:t xml:space="preserve">le attività dell’esperto </w:t>
      </w:r>
      <w:r w:rsidR="00085C90" w:rsidRPr="00085C90">
        <w:rPr>
          <w:rFonts w:ascii="TimesNewRomanPSMT" w:hAnsi="TimesNewRomanPSMT" w:cs="TimesNewRomanPSMT"/>
          <w:i/>
          <w:sz w:val="24"/>
          <w:szCs w:val="24"/>
        </w:rPr>
        <w:t>ex</w:t>
      </w:r>
      <w:r w:rsidR="00085C90">
        <w:rPr>
          <w:rFonts w:ascii="TimesNewRomanPSMT" w:hAnsi="TimesNewRomanPSMT" w:cs="TimesNewRomanPSMT"/>
          <w:sz w:val="24"/>
          <w:szCs w:val="24"/>
        </w:rPr>
        <w:t xml:space="preserve"> artt. 568 c.p.c. e 173 bis disp. att. c.p.c. funzionali alla stima della casa di abitazione pignorata</w:t>
      </w:r>
      <w:r w:rsidRPr="00BD2AB8">
        <w:rPr>
          <w:rFonts w:ascii="TimesNewRomanPSMT" w:hAnsi="TimesNewRomanPSMT" w:cs="TimesNewRomanPSMT"/>
          <w:sz w:val="24"/>
          <w:szCs w:val="24"/>
        </w:rPr>
        <w:t>;</w:t>
      </w:r>
    </w:p>
    <w:p w14:paraId="1285AA3C" w14:textId="6973CA34" w:rsidR="003B504C" w:rsidRPr="00BD2AB8" w:rsidRDefault="00035EDD" w:rsidP="65787F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l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e operazioni di vendita e </w:t>
      </w:r>
      <w:r w:rsidR="07D75CFF" w:rsidRPr="00BD2AB8">
        <w:rPr>
          <w:rFonts w:ascii="TimesNewRomanPSMT" w:hAnsi="TimesNewRomanPSMT" w:cs="TimesNewRomanPSMT"/>
          <w:sz w:val="24"/>
          <w:szCs w:val="24"/>
        </w:rPr>
        <w:t xml:space="preserve">di 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assegnazione </w:t>
      </w:r>
      <w:r w:rsidRPr="00BD2AB8">
        <w:rPr>
          <w:rFonts w:ascii="TimesNewRomanPSMT" w:hAnsi="TimesNewRomanPSMT" w:cs="TimesNewRomanPSMT"/>
          <w:sz w:val="24"/>
          <w:szCs w:val="24"/>
        </w:rPr>
        <w:t>(in ess</w:t>
      </w:r>
      <w:r w:rsidR="0A5214AB" w:rsidRPr="00BD2AB8">
        <w:rPr>
          <w:rFonts w:ascii="TimesNewRomanPSMT" w:hAnsi="TimesNewRomanPSMT" w:cs="TimesNewRomanPSMT"/>
          <w:sz w:val="24"/>
          <w:szCs w:val="24"/>
        </w:rPr>
        <w:t>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ricomprendendosi: gli accessi all’immobile per le visite; gli avvisi di vendita e la pubblicità legale, che, ove già compiuti anteriormente all’inizio della sospensione, devono intendersi senza effetto non potendo essere seguiti dall’espletamento dell’asta);</w:t>
      </w:r>
    </w:p>
    <w:p w14:paraId="146768EB" w14:textId="21CA7FEA" w:rsidR="003B504C" w:rsidRPr="00BD2AB8" w:rsidRDefault="003B504C" w:rsidP="65787F3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la liberazione dell’immobile (</w:t>
      </w:r>
      <w:r w:rsidR="005D366E">
        <w:rPr>
          <w:rFonts w:ascii="TimesNewRomanPSMT" w:hAnsi="TimesNewRomanPSMT" w:cs="TimesNewRomanPSMT"/>
          <w:sz w:val="24"/>
          <w:szCs w:val="24"/>
        </w:rPr>
        <w:t>salva l’ipotesi oltre esposta).</w:t>
      </w:r>
    </w:p>
    <w:p w14:paraId="746EF005" w14:textId="77777777" w:rsidR="00035EDD" w:rsidRPr="00BD2AB8" w:rsidRDefault="00035EDD" w:rsidP="005849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4387AAD" w14:textId="4987AD70" w:rsidR="00035EDD" w:rsidRPr="00BD2AB8" w:rsidRDefault="1128BCA4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B) </w:t>
      </w:r>
      <w:r w:rsidR="00035EDD" w:rsidRPr="00BD2AB8">
        <w:rPr>
          <w:rFonts w:ascii="TimesNewRomanPSMT" w:hAnsi="TimesNewRomanPSMT" w:cs="TimesNewRomanPSMT"/>
          <w:b/>
          <w:bCs/>
          <w:sz w:val="24"/>
          <w:szCs w:val="24"/>
        </w:rPr>
        <w:t>Sono esclusi dalla sospensione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035EDD"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art. 54 </w:t>
      </w:r>
      <w:r w:rsidR="00035EDD"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 xml:space="preserve">gli adempimenti </w:t>
      </w:r>
      <w:r w:rsidR="000D5ACD" w:rsidRPr="00BD2AB8">
        <w:rPr>
          <w:rFonts w:ascii="TimesNewRomanPSMT" w:hAnsi="TimesNewRomanPSMT" w:cs="TimesNewRomanPSMT"/>
          <w:sz w:val="24"/>
          <w:szCs w:val="24"/>
        </w:rPr>
        <w:t>di contenuto meramente conservativo</w:t>
      </w:r>
      <w:r w:rsidR="00137530" w:rsidRPr="00BD2AB8">
        <w:rPr>
          <w:rFonts w:ascii="TimesNewRomanPSMT" w:hAnsi="TimesNewRomanPSMT" w:cs="TimesNewRomanPSMT"/>
          <w:sz w:val="24"/>
          <w:szCs w:val="24"/>
        </w:rPr>
        <w:t>,</w:t>
      </w:r>
      <w:r w:rsidR="00E64393" w:rsidRPr="00BD2AB8">
        <w:rPr>
          <w:rFonts w:ascii="TimesNewRomanPSMT" w:hAnsi="TimesNewRomanPSMT" w:cs="TimesNewRomanPSMT"/>
          <w:sz w:val="24"/>
          <w:szCs w:val="24"/>
        </w:rPr>
        <w:t xml:space="preserve"> quelli successivi all’aggiudicazione</w:t>
      </w:r>
      <w:r w:rsidR="0040228B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DF322A" w:rsidRPr="00BD2AB8">
        <w:rPr>
          <w:rFonts w:ascii="TimesNewRomanPSMT" w:hAnsi="TimesNewRomanPSMT" w:cs="TimesNewRomanPSMT"/>
          <w:sz w:val="24"/>
          <w:szCs w:val="24"/>
        </w:rPr>
        <w:t>e</w:t>
      </w:r>
      <w:r w:rsidR="0040228B" w:rsidRPr="00BD2AB8">
        <w:rPr>
          <w:rFonts w:ascii="TimesNewRomanPSMT" w:hAnsi="TimesNewRomanPSMT" w:cs="TimesNewRomanPSMT"/>
          <w:sz w:val="24"/>
          <w:szCs w:val="24"/>
        </w:rPr>
        <w:t xml:space="preserve"> quelli non aventi carattere esecutivo</w:t>
      </w:r>
      <w:r w:rsidR="00085C90">
        <w:rPr>
          <w:rFonts w:ascii="TimesNewRomanPSMT" w:hAnsi="TimesNewRomanPSMT" w:cs="TimesNewRomanPSMT"/>
          <w:sz w:val="24"/>
          <w:szCs w:val="24"/>
        </w:rPr>
        <w:t>, ovverosia</w:t>
      </w:r>
      <w:r w:rsidR="00035EDD" w:rsidRPr="00BD2AB8">
        <w:rPr>
          <w:rFonts w:ascii="TimesNewRomanPSMT" w:hAnsi="TimesNewRomanPSMT" w:cs="TimesNewRomanPSMT"/>
          <w:sz w:val="24"/>
          <w:szCs w:val="24"/>
        </w:rPr>
        <w:t>:</w:t>
      </w:r>
    </w:p>
    <w:p w14:paraId="2F9B3353" w14:textId="5A98A154" w:rsidR="00035EDD" w:rsidRPr="00BD2AB8" w:rsidRDefault="007D5A1A" w:rsidP="7D739E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l’</w:t>
      </w:r>
      <w:r w:rsidR="00460FDA" w:rsidRPr="00BD2AB8">
        <w:rPr>
          <w:rFonts w:ascii="TimesNewRomanPSMT" w:hAnsi="TimesNewRomanPSMT" w:cs="TimesNewRomanPSMT"/>
          <w:sz w:val="24"/>
          <w:szCs w:val="24"/>
        </w:rPr>
        <w:t xml:space="preserve">istanza </w:t>
      </w:r>
      <w:r w:rsidR="00DF322A" w:rsidRPr="00BD2AB8">
        <w:rPr>
          <w:rFonts w:ascii="TimesNewRomanPSMT" w:hAnsi="TimesNewRomanPSMT" w:cs="TimesNewRomanPSMT"/>
          <w:sz w:val="24"/>
          <w:szCs w:val="24"/>
        </w:rPr>
        <w:t>di conversione del pignoramento</w:t>
      </w:r>
      <w:r w:rsidR="00460FDA" w:rsidRPr="00BD2AB8">
        <w:rPr>
          <w:rFonts w:ascii="TimesNewRomanPSMT" w:hAnsi="TimesNewRomanPSMT" w:cs="TimesNewRomanPSMT"/>
          <w:sz w:val="24"/>
          <w:szCs w:val="24"/>
        </w:rPr>
        <w:t xml:space="preserve"> e </w:t>
      </w:r>
      <w:r w:rsidRPr="00BD2AB8">
        <w:rPr>
          <w:rFonts w:ascii="TimesNewRomanPSMT" w:hAnsi="TimesNewRomanPSMT" w:cs="TimesNewRomanPSMT"/>
          <w:sz w:val="24"/>
          <w:szCs w:val="24"/>
        </w:rPr>
        <w:t>l’</w:t>
      </w:r>
      <w:r w:rsidR="00460FDA" w:rsidRPr="00BD2AB8">
        <w:rPr>
          <w:rFonts w:ascii="TimesNewRomanPSMT" w:hAnsi="TimesNewRomanPSMT" w:cs="TimesNewRomanPSMT"/>
          <w:sz w:val="24"/>
          <w:szCs w:val="24"/>
        </w:rPr>
        <w:t>adozione dei consequenziali provvedimenti;</w:t>
      </w:r>
    </w:p>
    <w:p w14:paraId="4BE7426E" w14:textId="7BF005DB" w:rsidR="00035EDD" w:rsidRPr="00BD2AB8" w:rsidRDefault="00035EDD" w:rsidP="65787F35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la custodia giudiziaria dell’immobile pignorato</w:t>
      </w:r>
      <w:r w:rsidR="007C6B24" w:rsidRPr="00BD2AB8">
        <w:rPr>
          <w:rFonts w:ascii="TimesNewRomanPSMT" w:hAnsi="TimesNewRomanPSMT" w:cs="TimesNewRomanPSMT"/>
          <w:sz w:val="24"/>
          <w:szCs w:val="24"/>
        </w:rPr>
        <w:t xml:space="preserve"> (riscossione dei frutti, vigilanza, </w:t>
      </w:r>
      <w:r w:rsidR="0099359D" w:rsidRPr="00BD2AB8">
        <w:rPr>
          <w:rFonts w:ascii="TimesNewRomanPSMT" w:hAnsi="TimesNewRomanPSMT" w:cs="TimesNewRomanPSMT"/>
          <w:sz w:val="24"/>
          <w:szCs w:val="24"/>
        </w:rPr>
        <w:t>etc.)</w:t>
      </w:r>
      <w:r w:rsidRPr="00BD2AB8">
        <w:rPr>
          <w:rFonts w:ascii="TimesNewRomanPSMT" w:hAnsi="TimesNewRomanPSMT" w:cs="TimesNewRomanPSMT"/>
          <w:sz w:val="24"/>
          <w:szCs w:val="24"/>
        </w:rPr>
        <w:t>;</w:t>
      </w:r>
    </w:p>
    <w:p w14:paraId="0F53053D" w14:textId="1B4F9E81" w:rsidR="00035EDD" w:rsidRPr="00BD2AB8" w:rsidRDefault="00035EDD" w:rsidP="65787F35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la presentazione da parte degli Ausiliari delle istanze di liquidazione delle competenze nonché i relativi provvedimenti del GE;</w:t>
      </w:r>
    </w:p>
    <w:p w14:paraId="4EDAEE8C" w14:textId="0170EE76" w:rsidR="00035EDD" w:rsidRPr="00BD2AB8" w:rsidRDefault="0040228B" w:rsidP="65787F3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l’emissione dei </w:t>
      </w:r>
      <w:r w:rsidR="00BC67BF" w:rsidRPr="00BD2AB8">
        <w:rPr>
          <w:rFonts w:ascii="TimesNewRomanPSMT" w:hAnsi="TimesNewRomanPSMT" w:cs="TimesNewRomanPSMT"/>
          <w:sz w:val="24"/>
          <w:szCs w:val="24"/>
        </w:rPr>
        <w:t xml:space="preserve">provvedimenti diretti a liberare </w:t>
      </w:r>
      <w:r w:rsidR="007D5A1A" w:rsidRPr="00BD2AB8">
        <w:rPr>
          <w:rFonts w:ascii="TimesNewRomanPSMT" w:hAnsi="TimesNewRomanPSMT" w:cs="TimesNewRomanPSMT"/>
          <w:sz w:val="24"/>
          <w:szCs w:val="24"/>
        </w:rPr>
        <w:t xml:space="preserve">la casa di abitazione </w:t>
      </w:r>
      <w:r w:rsidR="00BC67BF" w:rsidRPr="00BD2AB8">
        <w:rPr>
          <w:rFonts w:ascii="TimesNewRomanPSMT" w:hAnsi="TimesNewRomanPSMT" w:cs="TimesNewRomanPSMT"/>
          <w:sz w:val="24"/>
          <w:szCs w:val="24"/>
        </w:rPr>
        <w:t>dal pignoramento ovvero ad incidere sul suo oggetto</w:t>
      </w:r>
      <w:r w:rsidR="00F10AD7" w:rsidRPr="00BD2AB8">
        <w:rPr>
          <w:rFonts w:ascii="TimesNewRomanPSMT" w:hAnsi="TimesNewRomanPSMT" w:cs="TimesNewRomanPSMT"/>
          <w:sz w:val="24"/>
          <w:szCs w:val="24"/>
        </w:rPr>
        <w:t xml:space="preserve"> (es. </w:t>
      </w:r>
      <w:r w:rsidR="00BC67BF" w:rsidRPr="00BD2AB8">
        <w:rPr>
          <w:rFonts w:ascii="TimesNewRomanPSMT" w:hAnsi="TimesNewRomanPSMT" w:cs="TimesNewRomanPSMT"/>
          <w:sz w:val="24"/>
          <w:szCs w:val="24"/>
        </w:rPr>
        <w:t>estinzione della procedura esecutiva per rinuncia</w:t>
      </w:r>
      <w:r w:rsidR="00425D20" w:rsidRPr="00BD2AB8">
        <w:rPr>
          <w:rFonts w:ascii="TimesNewRomanPSMT" w:hAnsi="TimesNewRomanPSMT" w:cs="TimesNewRomanPSMT"/>
          <w:sz w:val="24"/>
          <w:szCs w:val="24"/>
        </w:rPr>
        <w:t xml:space="preserve">; riduzione del pignoramento </w:t>
      </w:r>
      <w:r w:rsidR="00425D20" w:rsidRPr="00085C90">
        <w:rPr>
          <w:rFonts w:ascii="TimesNewRomanPSMT" w:hAnsi="TimesNewRomanPSMT" w:cs="TimesNewRomanPSMT"/>
          <w:i/>
          <w:sz w:val="24"/>
          <w:szCs w:val="24"/>
        </w:rPr>
        <w:t>ex</w:t>
      </w:r>
      <w:r w:rsidR="00425D20" w:rsidRPr="00BD2AB8">
        <w:rPr>
          <w:rFonts w:ascii="TimesNewRomanPSMT" w:hAnsi="TimesNewRomanPSMT" w:cs="TimesNewRomanPSMT"/>
          <w:sz w:val="24"/>
          <w:szCs w:val="24"/>
        </w:rPr>
        <w:t xml:space="preserve"> art.496 c.p.c.; limitazione dei mezzi di espropriazione </w:t>
      </w:r>
      <w:r w:rsidR="00425D20" w:rsidRPr="00085C90">
        <w:rPr>
          <w:rFonts w:ascii="TimesNewRomanPSMT" w:hAnsi="TimesNewRomanPSMT" w:cs="TimesNewRomanPSMT"/>
          <w:i/>
          <w:sz w:val="24"/>
          <w:szCs w:val="24"/>
        </w:rPr>
        <w:t>ex</w:t>
      </w:r>
      <w:r w:rsidR="00425D20" w:rsidRPr="00BD2AB8">
        <w:rPr>
          <w:rFonts w:ascii="TimesNewRomanPSMT" w:hAnsi="TimesNewRomanPSMT" w:cs="TimesNewRomanPSMT"/>
          <w:sz w:val="24"/>
          <w:szCs w:val="24"/>
        </w:rPr>
        <w:t xml:space="preserve"> art.483 c.p.c.</w:t>
      </w:r>
      <w:r w:rsidR="00F10AD7" w:rsidRPr="00BD2AB8">
        <w:rPr>
          <w:rFonts w:ascii="TimesNewRomanPSMT" w:hAnsi="TimesNewRomanPSMT" w:cs="TimesNewRomanPSMT"/>
          <w:sz w:val="24"/>
          <w:szCs w:val="24"/>
        </w:rPr>
        <w:t>);</w:t>
      </w:r>
    </w:p>
    <w:p w14:paraId="5FF7F1BC" w14:textId="417BCFF1" w:rsidR="00035EDD" w:rsidRPr="00BD2AB8" w:rsidRDefault="003B504C" w:rsidP="65787F3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il versamento del saldo prezzo;</w:t>
      </w:r>
    </w:p>
    <w:p w14:paraId="13445D4C" w14:textId="0073A212" w:rsidR="00035EDD" w:rsidRPr="00BD2AB8" w:rsidRDefault="007D5A1A" w:rsidP="65787F3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il compimento delle attività relative al </w:t>
      </w:r>
      <w:r w:rsidR="00E64393" w:rsidRPr="00BD2AB8">
        <w:rPr>
          <w:rFonts w:ascii="TimesNewRomanPSMT" w:hAnsi="TimesNewRomanPSMT" w:cs="TimesNewRomanPSMT"/>
          <w:sz w:val="24"/>
          <w:szCs w:val="24"/>
        </w:rPr>
        <w:t>trasferimento del bene</w:t>
      </w:r>
      <w:r w:rsidR="00022355" w:rsidRPr="00BD2AB8">
        <w:rPr>
          <w:rFonts w:ascii="TimesNewRomanPSMT" w:hAnsi="TimesNewRomanPSMT" w:cs="TimesNewRomanPSMT"/>
          <w:sz w:val="24"/>
          <w:szCs w:val="24"/>
        </w:rPr>
        <w:t xml:space="preserve"> (</w:t>
      </w:r>
      <w:r w:rsidR="0041293C" w:rsidRPr="00BD2AB8">
        <w:rPr>
          <w:rFonts w:ascii="TimesNewRomanPSMT" w:hAnsi="TimesNewRomanPSMT" w:cs="TimesNewRomanPSMT"/>
          <w:sz w:val="24"/>
          <w:szCs w:val="24"/>
        </w:rPr>
        <w:t>es. predisposizione della bozza; emissione del decreto; cancellazione della formalità</w:t>
      </w:r>
      <w:r w:rsidR="003B504C" w:rsidRPr="00BD2AB8">
        <w:rPr>
          <w:rFonts w:ascii="TimesNewRomanPSMT" w:hAnsi="TimesNewRomanPSMT" w:cs="TimesNewRomanPSMT"/>
          <w:sz w:val="24"/>
          <w:szCs w:val="24"/>
        </w:rPr>
        <w:t>; ecc.)</w:t>
      </w:r>
      <w:r w:rsidR="0041293C" w:rsidRPr="00BD2AB8">
        <w:rPr>
          <w:rFonts w:ascii="TimesNewRomanPSMT" w:hAnsi="TimesNewRomanPSMT" w:cs="TimesNewRomanPSMT"/>
          <w:sz w:val="24"/>
          <w:szCs w:val="24"/>
        </w:rPr>
        <w:t xml:space="preserve">   </w:t>
      </w:r>
    </w:p>
    <w:p w14:paraId="02C3245B" w14:textId="3420095E" w:rsidR="00035EDD" w:rsidRPr="00BD2AB8" w:rsidRDefault="009D6914" w:rsidP="7D739E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347C20" w:rsidRPr="00BD2AB8">
        <w:rPr>
          <w:rFonts w:ascii="TimesNewRomanPSMT" w:hAnsi="TimesNewRomanPSMT" w:cs="TimesNewRomanPSMT"/>
          <w:sz w:val="24"/>
          <w:szCs w:val="24"/>
        </w:rPr>
        <w:t xml:space="preserve">la liberazione dell’immobile ordinata dal G.E. </w:t>
      </w:r>
      <w:r w:rsidRPr="00205A94">
        <w:rPr>
          <w:rFonts w:ascii="TimesNewRomanPSMT" w:hAnsi="TimesNewRomanPSMT" w:cs="TimesNewRomanPSMT"/>
          <w:b/>
          <w:bCs/>
          <w:sz w:val="24"/>
          <w:szCs w:val="24"/>
        </w:rPr>
        <w:t xml:space="preserve">in conseguenza di violazioni </w:t>
      </w:r>
      <w:r w:rsidR="00085C90" w:rsidRPr="00205A94">
        <w:rPr>
          <w:rFonts w:ascii="TimesNewRomanPSMT" w:hAnsi="TimesNewRomanPSMT" w:cs="TimesNewRomanPSMT"/>
          <w:b/>
          <w:bCs/>
          <w:sz w:val="24"/>
          <w:szCs w:val="24"/>
        </w:rPr>
        <w:t xml:space="preserve">degli obblighi di cui all’art. 560 c.p.c. </w:t>
      </w:r>
      <w:r w:rsidRPr="00205A94">
        <w:rPr>
          <w:rFonts w:ascii="TimesNewRomanPSMT" w:hAnsi="TimesNewRomanPSMT" w:cs="TimesNewRomanPSMT"/>
          <w:b/>
          <w:bCs/>
          <w:sz w:val="24"/>
          <w:szCs w:val="24"/>
        </w:rPr>
        <w:t>da parte del debitore</w:t>
      </w:r>
      <w:r w:rsidRPr="00BD2AB8">
        <w:rPr>
          <w:rFonts w:ascii="TimesNewRomanPSMT" w:hAnsi="TimesNewRomanPSMT" w:cs="TimesNewRomanPSMT"/>
          <w:sz w:val="24"/>
          <w:szCs w:val="24"/>
        </w:rPr>
        <w:t>;</w:t>
      </w:r>
    </w:p>
    <w:p w14:paraId="3DDC4EB8" w14:textId="58C58BB5" w:rsidR="00035EDD" w:rsidRPr="00BD2AB8" w:rsidRDefault="00035EDD" w:rsidP="65787F3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lastRenderedPageBreak/>
        <w:t xml:space="preserve"> la formazione, l’approvazione e l’attuazione del progetto di distribuzione del ricavato della vendita dell’immobile pignorato.</w:t>
      </w:r>
    </w:p>
    <w:p w14:paraId="47C4ADC7" w14:textId="77777777" w:rsidR="00E64393" w:rsidRPr="00BD2AB8" w:rsidRDefault="00E64393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501A152" w14:textId="02F4BB48" w:rsidR="000A2DC4" w:rsidRPr="00093934" w:rsidRDefault="00035EDD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3934">
        <w:rPr>
          <w:rFonts w:ascii="TimesNewRomanPSMT" w:hAnsi="TimesNewRomanPSMT" w:cs="TimesNewRomanPSMT"/>
          <w:sz w:val="24"/>
          <w:szCs w:val="24"/>
        </w:rPr>
        <w:t xml:space="preserve">Nel periodo di sospensione non è </w:t>
      </w:r>
      <w:r w:rsidR="00C038E4" w:rsidRPr="00093934">
        <w:rPr>
          <w:rFonts w:ascii="TimesNewRomanPSMT" w:hAnsi="TimesNewRomanPSMT" w:cs="TimesNewRomanPSMT"/>
          <w:sz w:val="24"/>
          <w:szCs w:val="24"/>
        </w:rPr>
        <w:t>precluso</w:t>
      </w:r>
      <w:r w:rsidRPr="00093934">
        <w:rPr>
          <w:rFonts w:ascii="TimesNewRomanPSMT" w:hAnsi="TimesNewRomanPSMT" w:cs="TimesNewRomanPSMT"/>
          <w:sz w:val="24"/>
          <w:szCs w:val="24"/>
        </w:rPr>
        <w:t xml:space="preserve"> al creditore procedente</w:t>
      </w:r>
      <w:r w:rsidR="00085C90" w:rsidRPr="00093934">
        <w:rPr>
          <w:rFonts w:ascii="TimesNewRomanPSMT" w:hAnsi="TimesNewRomanPSMT" w:cs="TimesNewRomanPSMT"/>
          <w:sz w:val="24"/>
          <w:szCs w:val="24"/>
        </w:rPr>
        <w:t xml:space="preserve"> che, alla data del 25.10.2020, abbia già notificato l’atto di pignoramento di cui all’art. 555 c.p.c.</w:t>
      </w:r>
      <w:r w:rsidR="000A2DC4" w:rsidRPr="00093934">
        <w:rPr>
          <w:rFonts w:ascii="TimesNewRomanPSMT" w:hAnsi="TimesNewRomanPSMT" w:cs="TimesNewRomanPSMT"/>
          <w:sz w:val="24"/>
          <w:szCs w:val="24"/>
        </w:rPr>
        <w:t>,</w:t>
      </w:r>
      <w:r w:rsidR="00085C90" w:rsidRPr="000939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3934">
        <w:rPr>
          <w:rFonts w:ascii="TimesNewRomanPSMT" w:hAnsi="TimesNewRomanPSMT" w:cs="TimesNewRomanPSMT"/>
          <w:sz w:val="24"/>
          <w:szCs w:val="24"/>
        </w:rPr>
        <w:t>di porre in essere gli</w:t>
      </w:r>
      <w:r w:rsidR="00E64393" w:rsidRPr="000939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3934">
        <w:rPr>
          <w:rFonts w:ascii="TimesNewRomanPSMT" w:hAnsi="TimesNewRomanPSMT" w:cs="TimesNewRomanPSMT"/>
          <w:sz w:val="24"/>
          <w:szCs w:val="24"/>
        </w:rPr>
        <w:t>adempimenti di cui è onerato</w:t>
      </w:r>
      <w:r w:rsidR="508333D1" w:rsidRPr="00093934">
        <w:rPr>
          <w:rFonts w:ascii="TimesNewRomanPSMT" w:hAnsi="TimesNewRomanPSMT" w:cs="TimesNewRomanPSMT"/>
          <w:sz w:val="24"/>
          <w:szCs w:val="24"/>
        </w:rPr>
        <w:t xml:space="preserve">, </w:t>
      </w:r>
      <w:r w:rsidR="00085C90" w:rsidRPr="00093934">
        <w:rPr>
          <w:rFonts w:ascii="TimesNewRomanPSMT" w:hAnsi="TimesNewRomanPSMT" w:cs="TimesNewRomanPSMT"/>
          <w:sz w:val="24"/>
          <w:szCs w:val="24"/>
        </w:rPr>
        <w:t xml:space="preserve">astrattamente </w:t>
      </w:r>
      <w:r w:rsidR="508333D1" w:rsidRPr="00093934">
        <w:rPr>
          <w:rFonts w:ascii="TimesNewRomanPSMT" w:hAnsi="TimesNewRomanPSMT" w:cs="TimesNewRomanPSMT"/>
          <w:sz w:val="24"/>
          <w:szCs w:val="24"/>
        </w:rPr>
        <w:t>finalizzati all’adozione dei provvedimenti di cui agli artt.568 e 569 c.p.c.</w:t>
      </w:r>
      <w:r w:rsidR="00093934" w:rsidRPr="000939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3934">
        <w:rPr>
          <w:rFonts w:ascii="TimesNewRomanPSMT" w:hAnsi="TimesNewRomanPSMT" w:cs="TimesNewRomanPSMT"/>
          <w:sz w:val="24"/>
          <w:szCs w:val="24"/>
        </w:rPr>
        <w:t>(</w:t>
      </w:r>
      <w:r w:rsidR="2864C0D0" w:rsidRPr="00093934">
        <w:rPr>
          <w:rFonts w:ascii="TimesNewRomanPSMT" w:hAnsi="TimesNewRomanPSMT" w:cs="TimesNewRomanPSMT"/>
          <w:sz w:val="24"/>
          <w:szCs w:val="24"/>
        </w:rPr>
        <w:t xml:space="preserve">quali </w:t>
      </w:r>
      <w:r w:rsidRPr="00093934">
        <w:rPr>
          <w:rFonts w:ascii="TimesNewRomanPSMT" w:hAnsi="TimesNewRomanPSMT" w:cs="TimesNewRomanPSMT"/>
          <w:sz w:val="24"/>
          <w:szCs w:val="24"/>
        </w:rPr>
        <w:t>il deposito dell’istanza di vendita, della documentazione</w:t>
      </w:r>
      <w:r w:rsidR="00E64393" w:rsidRPr="000939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93934">
        <w:rPr>
          <w:rFonts w:ascii="TimesNewRomanPSMT" w:hAnsi="TimesNewRomanPSMT" w:cs="TimesNewRomanPSMT"/>
          <w:sz w:val="24"/>
          <w:szCs w:val="24"/>
        </w:rPr>
        <w:t>ipo</w:t>
      </w:r>
      <w:proofErr w:type="spellEnd"/>
      <w:r w:rsidR="00C038E4" w:rsidRPr="00093934">
        <w:rPr>
          <w:rFonts w:ascii="TimesNewRomanPSMT" w:hAnsi="TimesNewRomanPSMT" w:cs="TimesNewRomanPSMT"/>
          <w:sz w:val="24"/>
          <w:szCs w:val="24"/>
        </w:rPr>
        <w:t>-</w:t>
      </w:r>
      <w:r w:rsidRPr="00093934">
        <w:rPr>
          <w:rFonts w:ascii="TimesNewRomanPSMT" w:hAnsi="TimesNewRomanPSMT" w:cs="TimesNewRomanPSMT"/>
          <w:sz w:val="24"/>
          <w:szCs w:val="24"/>
        </w:rPr>
        <w:t>catastale e delle relative integrazioni),</w:t>
      </w:r>
      <w:r w:rsidR="000A2DC4" w:rsidRPr="00093934">
        <w:rPr>
          <w:rFonts w:ascii="TimesNewRomanPSMT" w:hAnsi="TimesNewRomanPSMT" w:cs="TimesNewRomanPSMT"/>
          <w:sz w:val="24"/>
          <w:szCs w:val="24"/>
        </w:rPr>
        <w:t xml:space="preserve"> ferma restando la facoltà per costoro di provvedervi nel rispetto della sospensione </w:t>
      </w:r>
      <w:r w:rsidR="000A2DC4" w:rsidRPr="00093934">
        <w:rPr>
          <w:rFonts w:ascii="TimesNewRomanPSMT" w:hAnsi="TimesNewRomanPSMT" w:cs="TimesNewRomanPSMT"/>
          <w:i/>
          <w:sz w:val="24"/>
          <w:szCs w:val="24"/>
        </w:rPr>
        <w:t>ex lege</w:t>
      </w:r>
      <w:r w:rsidR="000A2DC4" w:rsidRPr="00093934">
        <w:rPr>
          <w:rFonts w:ascii="TimesNewRomanPSMT" w:hAnsi="TimesNewRomanPSMT" w:cs="TimesNewRomanPSMT"/>
          <w:sz w:val="24"/>
          <w:szCs w:val="24"/>
        </w:rPr>
        <w:t xml:space="preserve"> fino al </w:t>
      </w:r>
      <w:r w:rsidR="004514B5">
        <w:rPr>
          <w:rFonts w:ascii="TimesNewRomanPSMT" w:hAnsi="TimesNewRomanPSMT" w:cs="TimesNewRomanPSMT"/>
          <w:sz w:val="24"/>
          <w:szCs w:val="24"/>
        </w:rPr>
        <w:t>3</w:t>
      </w:r>
      <w:r w:rsidR="0060442C">
        <w:rPr>
          <w:rFonts w:ascii="TimesNewRomanPSMT" w:hAnsi="TimesNewRomanPSMT" w:cs="TimesNewRomanPSMT"/>
          <w:sz w:val="24"/>
          <w:szCs w:val="24"/>
        </w:rPr>
        <w:t>0.6.2021</w:t>
      </w:r>
      <w:r w:rsidR="000A2DC4" w:rsidRPr="00093934">
        <w:rPr>
          <w:rFonts w:ascii="TimesNewRomanPSMT" w:hAnsi="TimesNewRomanPSMT" w:cs="TimesNewRomanPSMT"/>
          <w:sz w:val="24"/>
          <w:szCs w:val="24"/>
        </w:rPr>
        <w:t>, ove abbiano contezza dell’adibizione dell’immobile a casa di abitazione dell’esecutato.</w:t>
      </w:r>
    </w:p>
    <w:p w14:paraId="5F4B8954" w14:textId="1970E228" w:rsidR="00035EDD" w:rsidRPr="00BD2AB8" w:rsidRDefault="000A2DC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3934">
        <w:rPr>
          <w:rFonts w:ascii="TimesNewRomanPSMT" w:hAnsi="TimesNewRomanPSMT" w:cs="TimesNewRomanPSMT"/>
          <w:sz w:val="24"/>
          <w:szCs w:val="24"/>
        </w:rPr>
        <w:t xml:space="preserve">Nel periodo di sospensione non è inibito </w:t>
      </w:r>
      <w:r w:rsidR="00035EDD" w:rsidRPr="00093934">
        <w:rPr>
          <w:rFonts w:ascii="TimesNewRomanPSMT" w:hAnsi="TimesNewRomanPSMT" w:cs="TimesNewRomanPSMT"/>
          <w:sz w:val="24"/>
          <w:szCs w:val="24"/>
        </w:rPr>
        <w:t>ad altri creditori di spiegare intervento nella procedura</w:t>
      </w:r>
      <w:r w:rsidR="00E64393" w:rsidRPr="00093934">
        <w:rPr>
          <w:rFonts w:ascii="TimesNewRomanPSMT" w:hAnsi="TimesNewRomanPSMT" w:cs="TimesNewRomanPSMT"/>
          <w:sz w:val="24"/>
          <w:szCs w:val="24"/>
        </w:rPr>
        <w:t xml:space="preserve"> </w:t>
      </w:r>
      <w:r w:rsidRPr="00093934">
        <w:rPr>
          <w:rFonts w:ascii="TimesNewRomanPSMT" w:hAnsi="TimesNewRomanPSMT" w:cs="TimesNewRomanPSMT"/>
          <w:sz w:val="24"/>
          <w:szCs w:val="24"/>
        </w:rPr>
        <w:t>esecutiva sospesa</w:t>
      </w:r>
      <w:r w:rsidR="00093934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</w:p>
    <w:p w14:paraId="6FE033C7" w14:textId="77777777" w:rsidR="00035EDD" w:rsidRPr="00BD2AB8" w:rsidRDefault="00035EDD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E60F0B2" w14:textId="77777777" w:rsidR="00772153" w:rsidRPr="00BD2AB8" w:rsidRDefault="00035EDD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III </w:t>
      </w:r>
      <w:r w:rsidR="00E64393" w:rsidRPr="00BD2AB8">
        <w:rPr>
          <w:rFonts w:ascii="TimesNewRomanPSMT" w:hAnsi="TimesNewRomanPSMT" w:cs="TimesNewRomanPSMT"/>
          <w:b/>
          <w:bCs/>
          <w:sz w:val="24"/>
          <w:szCs w:val="24"/>
        </w:rPr>
        <w:t>–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E64393" w:rsidRPr="00BD2AB8">
        <w:rPr>
          <w:rFonts w:ascii="TimesNewRomanPSMT" w:hAnsi="TimesNewRomanPSMT" w:cs="TimesNewRomanPSMT"/>
          <w:b/>
          <w:bCs/>
          <w:sz w:val="24"/>
          <w:szCs w:val="24"/>
        </w:rPr>
        <w:t>Attività degli ausiliari</w:t>
      </w:r>
    </w:p>
    <w:p w14:paraId="058BAF6B" w14:textId="61168EA6" w:rsidR="006F011D" w:rsidRPr="00BD2AB8" w:rsidRDefault="00E64393" w:rsidP="7D739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F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>erma restando la facoltà dell’esecutato di presentare istanza di sospensione ai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>sensi dell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’art. 54 </w:t>
      </w:r>
      <w:r w:rsidRPr="00BD2AB8">
        <w:rPr>
          <w:rFonts w:ascii="TimesNewRomanPSMT" w:hAnsi="TimesNewRomanPSMT" w:cs="TimesNewRomanPSMT"/>
          <w:i/>
          <w:iCs/>
          <w:sz w:val="24"/>
          <w:szCs w:val="24"/>
        </w:rPr>
        <w:t>ter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 xml:space="preserve">, gli Esperti stimatori,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i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>Professionisti delegati 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d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>i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 xml:space="preserve">Custodi giudiziari,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ai quali consti, in base agli atti della procedura, che l’esecuzione ha ad oggetto, in tutto o in parte, un immobile costituente l’abitazione principale del debitore (o del terzo proprietario esecutato) 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dovranno sospendere fino al </w:t>
      </w:r>
      <w:r w:rsidR="0060442C">
        <w:rPr>
          <w:rFonts w:ascii="TimesNewRomanPSMT" w:hAnsi="TimesNewRomanPSMT" w:cs="TimesNewRomanPSMT"/>
          <w:b/>
          <w:bCs/>
          <w:sz w:val="24"/>
          <w:szCs w:val="24"/>
        </w:rPr>
        <w:t>30.6.2021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gli adempimenti sopra indicati </w:t>
      </w:r>
      <w:r w:rsidRPr="0060442C">
        <w:rPr>
          <w:rFonts w:ascii="TimesNewRomanPSMT" w:hAnsi="TimesNewRomanPSMT" w:cs="TimesNewRomanPSMT"/>
          <w:i/>
          <w:iCs/>
          <w:sz w:val="24"/>
          <w:szCs w:val="24"/>
        </w:rPr>
        <w:t>sub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lettera A)</w:t>
      </w:r>
      <w:r w:rsidR="6627082E" w:rsidRPr="00BD2AB8">
        <w:rPr>
          <w:rFonts w:ascii="TimesNewRomanPSMT" w:hAnsi="TimesNewRomanPSMT" w:cs="TimesNewRomanPSMT"/>
          <w:sz w:val="24"/>
          <w:szCs w:val="24"/>
        </w:rPr>
        <w:t>; inoltre,</w:t>
      </w:r>
      <w:r w:rsidR="648737F6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4AA9DBE2" w:rsidRPr="00BD2AB8">
        <w:rPr>
          <w:rFonts w:ascii="TimesNewRomanPSMT" w:hAnsi="TimesNewRomanPSMT" w:cs="TimesNewRomanPSMT"/>
          <w:sz w:val="24"/>
          <w:szCs w:val="24"/>
        </w:rPr>
        <w:t xml:space="preserve">solo qualora sia </w:t>
      </w:r>
      <w:r w:rsidR="648737F6" w:rsidRPr="00BD2AB8">
        <w:rPr>
          <w:rFonts w:ascii="TimesNewRomanPSMT" w:hAnsi="TimesNewRomanPSMT" w:cs="TimesNewRomanPSMT"/>
          <w:sz w:val="24"/>
          <w:szCs w:val="24"/>
        </w:rPr>
        <w:t xml:space="preserve">fissata prima della detta data l’udienza </w:t>
      </w:r>
      <w:r w:rsidR="648737F6" w:rsidRPr="0044407B">
        <w:rPr>
          <w:rFonts w:ascii="TimesNewRomanPSMT" w:hAnsi="TimesNewRomanPSMT" w:cs="TimesNewRomanPSMT"/>
          <w:i/>
          <w:iCs/>
          <w:sz w:val="24"/>
          <w:szCs w:val="24"/>
        </w:rPr>
        <w:t>ex</w:t>
      </w:r>
      <w:r w:rsidR="648737F6" w:rsidRPr="00BD2AB8">
        <w:rPr>
          <w:rFonts w:ascii="TimesNewRomanPSMT" w:hAnsi="TimesNewRomanPSMT" w:cs="TimesNewRomanPSMT"/>
          <w:sz w:val="24"/>
          <w:szCs w:val="24"/>
        </w:rPr>
        <w:t xml:space="preserve"> artt.</w:t>
      </w:r>
      <w:r w:rsidR="7A757F3B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648737F6" w:rsidRPr="00BD2AB8">
        <w:rPr>
          <w:rFonts w:ascii="TimesNewRomanPSMT" w:hAnsi="TimesNewRomanPSMT" w:cs="TimesNewRomanPSMT"/>
          <w:sz w:val="24"/>
          <w:szCs w:val="24"/>
        </w:rPr>
        <w:t>569 e 600 c.p.c.</w:t>
      </w:r>
      <w:r w:rsidR="26F53AFD" w:rsidRPr="00BD2AB8">
        <w:rPr>
          <w:rFonts w:ascii="TimesNewRomanPSMT" w:hAnsi="TimesNewRomanPSMT" w:cs="TimesNewRomanPSMT"/>
          <w:sz w:val="24"/>
          <w:szCs w:val="24"/>
        </w:rPr>
        <w:t xml:space="preserve">, </w:t>
      </w:r>
      <w:r w:rsidR="04D1681F" w:rsidRPr="00BD2AB8">
        <w:rPr>
          <w:rFonts w:ascii="TimesNewRomanPSMT" w:hAnsi="TimesNewRomanPSMT" w:cs="TimesNewRomanPSMT"/>
          <w:sz w:val="24"/>
          <w:szCs w:val="24"/>
        </w:rPr>
        <w:t xml:space="preserve">gli esperti stimatori (ed il custode se già nominato) dovranno </w:t>
      </w:r>
      <w:r w:rsidR="26F53AFD" w:rsidRPr="00BD2AB8">
        <w:rPr>
          <w:rFonts w:ascii="TimesNewRomanPSMT" w:hAnsi="TimesNewRomanPSMT" w:cs="TimesNewRomanPSMT"/>
          <w:sz w:val="24"/>
          <w:szCs w:val="24"/>
        </w:rPr>
        <w:t>forni</w:t>
      </w:r>
      <w:r w:rsidR="706A537D" w:rsidRPr="00BD2AB8">
        <w:rPr>
          <w:rFonts w:ascii="TimesNewRomanPSMT" w:hAnsi="TimesNewRomanPSMT" w:cs="TimesNewRomanPSMT"/>
          <w:sz w:val="24"/>
          <w:szCs w:val="24"/>
        </w:rPr>
        <w:t>re al</w:t>
      </w:r>
      <w:r w:rsidR="3B600011" w:rsidRPr="00BD2AB8">
        <w:rPr>
          <w:rFonts w:ascii="TimesNewRomanPSMT" w:hAnsi="TimesNewRomanPSMT" w:cs="TimesNewRomanPSMT"/>
          <w:sz w:val="24"/>
          <w:szCs w:val="24"/>
        </w:rPr>
        <w:t xml:space="preserve"> G.E. gli elementi di prova idonei a supportare la </w:t>
      </w:r>
      <w:r w:rsidR="19858C24" w:rsidRPr="00BD2AB8">
        <w:rPr>
          <w:rFonts w:ascii="TimesNewRomanPSMT" w:hAnsi="TimesNewRomanPSMT" w:cs="TimesNewRomanPSMT"/>
          <w:sz w:val="24"/>
          <w:szCs w:val="24"/>
        </w:rPr>
        <w:t xml:space="preserve">sospensione ex art. 54 </w:t>
      </w:r>
      <w:r w:rsidR="19858C24" w:rsidRPr="000A2DC4">
        <w:rPr>
          <w:rFonts w:ascii="TimesNewRomanPSMT" w:hAnsi="TimesNewRomanPSMT" w:cs="TimesNewRomanPSMT"/>
          <w:i/>
          <w:sz w:val="24"/>
          <w:szCs w:val="24"/>
        </w:rPr>
        <w:t>ter</w:t>
      </w:r>
      <w:r w:rsidR="19858C24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3B600011" w:rsidRPr="00BD2AB8">
        <w:rPr>
          <w:rFonts w:ascii="TimesNewRomanPSMT" w:hAnsi="TimesNewRomanPSMT" w:cs="TimesNewRomanPSMT"/>
          <w:sz w:val="24"/>
          <w:szCs w:val="24"/>
        </w:rPr>
        <w:t>o</w:t>
      </w:r>
      <w:r w:rsidR="000A2DC4">
        <w:rPr>
          <w:rFonts w:ascii="TimesNewRomanPSMT" w:hAnsi="TimesNewRomanPSMT" w:cs="TimesNewRomanPSMT"/>
          <w:sz w:val="24"/>
          <w:szCs w:val="24"/>
        </w:rPr>
        <w:t xml:space="preserve">nde consentirgli </w:t>
      </w:r>
      <w:r w:rsidR="4F35FECB" w:rsidRPr="00BD2AB8">
        <w:rPr>
          <w:rFonts w:ascii="TimesNewRomanPSMT" w:hAnsi="TimesNewRomanPSMT" w:cs="TimesNewRomanPSMT"/>
          <w:sz w:val="24"/>
          <w:szCs w:val="24"/>
        </w:rPr>
        <w:t xml:space="preserve">di emettere </w:t>
      </w:r>
      <w:r w:rsidR="003B504C" w:rsidRPr="00BD2AB8">
        <w:rPr>
          <w:rFonts w:ascii="TimesNewRomanPSMT" w:hAnsi="TimesNewRomanPSMT" w:cs="TimesNewRomanPSMT"/>
          <w:sz w:val="24"/>
          <w:szCs w:val="24"/>
        </w:rPr>
        <w:t>i conseguenti provvedimenti di rinvio delle udienze.</w:t>
      </w:r>
      <w:r w:rsidR="006F011D" w:rsidRPr="00BD2A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498017" w14:textId="2ED0840D" w:rsidR="65787F35" w:rsidRPr="00BD2AB8" w:rsidRDefault="65787F35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FCC3A21" w14:textId="6932D801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Tanto l’istanza della parte interessata, quanto la segnalazione dell’Ausiliario della procedura</w:t>
      </w:r>
      <w:r w:rsidR="00E64393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non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costituiscono presupposto procedurale dell’effetto sospensivo, </w:t>
      </w:r>
      <w:r w:rsidR="4A06C375" w:rsidRPr="00BD2AB8">
        <w:rPr>
          <w:rFonts w:ascii="TimesNewRomanPSMT" w:hAnsi="TimesNewRomanPSMT" w:cs="TimesNewRomanPSMT"/>
          <w:sz w:val="24"/>
          <w:szCs w:val="24"/>
        </w:rPr>
        <w:t xml:space="preserve">il quale </w:t>
      </w:r>
      <w:r w:rsidRPr="00BD2AB8">
        <w:rPr>
          <w:rFonts w:ascii="TimesNewRomanPSMT" w:hAnsi="TimesNewRomanPSMT" w:cs="TimesNewRomanPSMT"/>
          <w:sz w:val="24"/>
          <w:szCs w:val="24"/>
        </w:rPr>
        <w:t>è prodotto direttamente dalla</w:t>
      </w:r>
      <w:r w:rsidR="000D5ACD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sz w:val="24"/>
          <w:szCs w:val="24"/>
        </w:rPr>
        <w:t>norma.</w:t>
      </w:r>
    </w:p>
    <w:p w14:paraId="11385D9F" w14:textId="77A9ED9A" w:rsidR="003B504C" w:rsidRPr="00BD2AB8" w:rsidRDefault="003B504C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4D0D11E0" w14:textId="7099EA41" w:rsidR="00425D20" w:rsidRPr="00BD2AB8" w:rsidRDefault="00425D20" w:rsidP="6280EC9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  <w:r w:rsidRPr="6280EC9E">
        <w:rPr>
          <w:rFonts w:ascii="TimesNewRomanPSMT" w:hAnsi="TimesNewRomanPSMT" w:cs="TimesNewRomanPSMT"/>
          <w:sz w:val="24"/>
          <w:szCs w:val="24"/>
        </w:rPr>
        <w:t xml:space="preserve">Salva l’ipotesi della perizia estimativa attinta dalla sospensione con correlata necessità di differire l’udienza ex artt.569 e/o 600 c.p.c., l’attività esecutiva </w:t>
      </w:r>
      <w:r w:rsidRPr="6280EC9E">
        <w:rPr>
          <w:rFonts w:ascii="TimesNewRomanPS-ItalicMT" w:hAnsi="TimesNewRomanPS-ItalicMT" w:cs="TimesNewRomanPS-ItalicMT"/>
          <w:sz w:val="24"/>
          <w:szCs w:val="24"/>
        </w:rPr>
        <w:t xml:space="preserve">extra </w:t>
      </w:r>
      <w:r w:rsidRPr="6280EC9E">
        <w:rPr>
          <w:rFonts w:ascii="TimesNewRomanPSMT" w:hAnsi="TimesNewRomanPSMT" w:cs="TimesNewRomanPSMT"/>
          <w:sz w:val="24"/>
          <w:szCs w:val="24"/>
        </w:rPr>
        <w:t xml:space="preserve">udienza </w:t>
      </w:r>
      <w:r w:rsidR="007A5834">
        <w:rPr>
          <w:rFonts w:ascii="TimesNewRomanPSMT" w:hAnsi="TimesNewRomanPSMT" w:cs="TimesNewRomanPSMT"/>
          <w:sz w:val="24"/>
          <w:szCs w:val="24"/>
        </w:rPr>
        <w:t xml:space="preserve">già </w:t>
      </w:r>
      <w:r w:rsidRPr="6280EC9E">
        <w:rPr>
          <w:rFonts w:ascii="TimesNewRomanPSMT" w:hAnsi="TimesNewRomanPSMT" w:cs="TimesNewRomanPSMT"/>
          <w:sz w:val="24"/>
          <w:szCs w:val="24"/>
        </w:rPr>
        <w:t>in corso alla data del 30 aprile 2020 riprenderà</w:t>
      </w:r>
      <w:r w:rsidR="0027534A">
        <w:rPr>
          <w:rFonts w:ascii="TimesNewRomanPSMT" w:hAnsi="TimesNewRomanPSMT" w:cs="TimesNewRomanPSMT"/>
          <w:sz w:val="24"/>
          <w:szCs w:val="24"/>
        </w:rPr>
        <w:t xml:space="preserve"> automaticamente</w:t>
      </w:r>
      <w:r w:rsidRPr="6280EC9E">
        <w:rPr>
          <w:rFonts w:ascii="TimesNewRomanPSMT" w:hAnsi="TimesNewRomanPSMT" w:cs="TimesNewRomanPSMT"/>
          <w:sz w:val="24"/>
          <w:szCs w:val="24"/>
        </w:rPr>
        <w:t xml:space="preserve"> a partire dal </w:t>
      </w:r>
      <w:r w:rsidR="0011362B">
        <w:rPr>
          <w:rFonts w:ascii="TimesNewRomanPSMT" w:hAnsi="TimesNewRomanPSMT" w:cs="TimesNewRomanPSMT"/>
          <w:sz w:val="24"/>
          <w:szCs w:val="24"/>
        </w:rPr>
        <w:t>1° luglio 2021</w:t>
      </w:r>
      <w:r w:rsidRPr="00093934">
        <w:rPr>
          <w:rFonts w:ascii="TimesNewRomanPSMT" w:hAnsi="TimesNewRomanPSMT" w:cs="TimesNewRomanPSMT"/>
          <w:sz w:val="24"/>
          <w:szCs w:val="24"/>
        </w:rPr>
        <w:t>.</w:t>
      </w:r>
    </w:p>
    <w:p w14:paraId="17AAF47C" w14:textId="77777777" w:rsidR="00425D20" w:rsidRPr="00BD2AB8" w:rsidRDefault="00425D20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14:paraId="186E7623" w14:textId="5BF4C91A" w:rsidR="00A55F64" w:rsidRPr="00BD2AB8" w:rsidRDefault="00A55F64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Non sono necessarie né istanze di parte o segnalazioni degli Ausiliari, né prese d’atto e</w:t>
      </w:r>
      <w:r w:rsidR="00622F7A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sz w:val="24"/>
          <w:szCs w:val="24"/>
        </w:rPr>
        <w:t>disposizioni sulla riattivazione del processo esecutivo da parte del GE allorquando nella procedura</w:t>
      </w:r>
      <w:r w:rsidR="00622F7A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assoggettata alla </w:t>
      </w:r>
      <w:r w:rsidRPr="00BD2AB8">
        <w:rPr>
          <w:rFonts w:ascii="TimesNewRomanPSMT" w:hAnsi="TimesNewRomanPSMT" w:cs="TimesNewRomanPSMT"/>
          <w:sz w:val="24"/>
          <w:szCs w:val="24"/>
        </w:rPr>
        <w:lastRenderedPageBreak/>
        <w:t xml:space="preserve">sospensione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art. 54 </w:t>
      </w:r>
      <w:r w:rsidRPr="00BD2A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Pr="00BD2AB8">
        <w:rPr>
          <w:rFonts w:ascii="TimesNewRomanPSMT" w:hAnsi="TimesNewRomanPSMT" w:cs="TimesNewRomanPSMT"/>
          <w:sz w:val="24"/>
          <w:szCs w:val="24"/>
        </w:rPr>
        <w:t>risulti già fissata udienza in data successiva al 3</w:t>
      </w:r>
      <w:r w:rsidR="00AA1788">
        <w:rPr>
          <w:rFonts w:ascii="TimesNewRomanPSMT" w:hAnsi="TimesNewRomanPSMT" w:cs="TimesNewRomanPSMT"/>
          <w:sz w:val="24"/>
          <w:szCs w:val="24"/>
        </w:rPr>
        <w:t xml:space="preserve">0 giugno </w:t>
      </w:r>
      <w:r w:rsidRPr="00BD2AB8">
        <w:rPr>
          <w:rFonts w:ascii="TimesNewRomanPSMT" w:hAnsi="TimesNewRomanPSMT" w:cs="TimesNewRomanPSMT"/>
          <w:sz w:val="24"/>
          <w:szCs w:val="24"/>
        </w:rPr>
        <w:t>202</w:t>
      </w:r>
      <w:r w:rsidR="00AA1788">
        <w:rPr>
          <w:rFonts w:ascii="TimesNewRomanPSMT" w:hAnsi="TimesNewRomanPSMT" w:cs="TimesNewRomanPSMT"/>
          <w:sz w:val="24"/>
          <w:szCs w:val="24"/>
        </w:rPr>
        <w:t>1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2411C806" w:rsidRPr="00BD2AB8">
        <w:rPr>
          <w:rFonts w:ascii="TimesNewRomanPSMT" w:hAnsi="TimesNewRomanPSMT" w:cs="TimesNewRomanPSMT"/>
          <w:sz w:val="24"/>
          <w:szCs w:val="24"/>
        </w:rPr>
        <w:t xml:space="preserve">ovvero </w:t>
      </w:r>
      <w:r w:rsidRPr="00BD2AB8">
        <w:rPr>
          <w:rFonts w:ascii="TimesNewRomanPSMT" w:hAnsi="TimesNewRomanPSMT" w:cs="TimesNewRomanPSMT"/>
          <w:sz w:val="24"/>
          <w:szCs w:val="24"/>
        </w:rPr>
        <w:t>non siano in corso</w:t>
      </w:r>
      <w:r w:rsidR="7180EFB7" w:rsidRPr="00BD2AB8">
        <w:rPr>
          <w:rFonts w:ascii="TimesNewRomanPSMT" w:hAnsi="TimesNewRomanPSMT" w:cs="TimesNewRomanPSMT"/>
          <w:sz w:val="24"/>
          <w:szCs w:val="24"/>
        </w:rPr>
        <w:t xml:space="preserve"> o previste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, </w:t>
      </w:r>
      <w:r w:rsidR="54CA97D3" w:rsidRPr="00BD2AB8">
        <w:rPr>
          <w:rFonts w:ascii="TimesNewRomanPSMT" w:hAnsi="TimesNewRomanPSMT" w:cs="TimesNewRomanPSMT"/>
          <w:sz w:val="24"/>
          <w:szCs w:val="24"/>
        </w:rPr>
        <w:t xml:space="preserve">nell’arco temporale </w:t>
      </w:r>
      <w:r w:rsidR="000A2DC4">
        <w:rPr>
          <w:rFonts w:ascii="TimesNewRomanPSMT" w:hAnsi="TimesNewRomanPSMT" w:cs="TimesNewRomanPSMT"/>
          <w:sz w:val="24"/>
          <w:szCs w:val="24"/>
        </w:rPr>
        <w:t>attinto dalla sospensione</w:t>
      </w:r>
      <w:r w:rsidRPr="00BD2AB8">
        <w:rPr>
          <w:rFonts w:ascii="TimesNewRomanPSMT" w:hAnsi="TimesNewRomanPSMT" w:cs="TimesNewRomanPSMT"/>
          <w:sz w:val="24"/>
          <w:szCs w:val="24"/>
        </w:rPr>
        <w:t>, attività</w:t>
      </w:r>
      <w:r w:rsidR="000A2DC4">
        <w:rPr>
          <w:rFonts w:ascii="TimesNewRomanPSMT" w:hAnsi="TimesNewRomanPSMT" w:cs="TimesNewRomanPSMT"/>
          <w:sz w:val="24"/>
          <w:szCs w:val="24"/>
        </w:rPr>
        <w:t xml:space="preserve"> in essa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0A2DC4">
        <w:rPr>
          <w:rFonts w:ascii="TimesNewRomanPSMT" w:hAnsi="TimesNewRomanPSMT" w:cs="TimesNewRomanPSMT"/>
          <w:sz w:val="24"/>
          <w:szCs w:val="24"/>
        </w:rPr>
        <w:t>incluse.</w:t>
      </w:r>
    </w:p>
    <w:p w14:paraId="1360B996" w14:textId="196F422E" w:rsidR="65787F35" w:rsidRPr="00BD2AB8" w:rsidRDefault="65787F35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553E916" w14:textId="033249AD" w:rsidR="72BE6302" w:rsidRPr="00BD2AB8" w:rsidRDefault="72BE6302" w:rsidP="65787F35">
      <w:pPr>
        <w:spacing w:after="0" w:line="36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 xml:space="preserve">Al fine di consentire </w:t>
      </w:r>
      <w:r w:rsidR="2EF70283" w:rsidRPr="00BD2AB8">
        <w:rPr>
          <w:rFonts w:ascii="TimesNewRomanPSMT" w:hAnsi="TimesNewRomanPSMT" w:cs="TimesNewRomanPSMT"/>
          <w:sz w:val="24"/>
          <w:szCs w:val="24"/>
        </w:rPr>
        <w:t xml:space="preserve">ai custodi giudiziari di </w:t>
      </w:r>
      <w:r w:rsidRPr="00BD2AB8">
        <w:rPr>
          <w:rFonts w:ascii="TimesNewRomanPSMT" w:hAnsi="TimesNewRomanPSMT" w:cs="TimesNewRomanPSMT"/>
          <w:sz w:val="24"/>
          <w:szCs w:val="24"/>
        </w:rPr>
        <w:t>accompagna</w:t>
      </w:r>
      <w:r w:rsidR="265A83C2" w:rsidRPr="00BD2AB8">
        <w:rPr>
          <w:rFonts w:ascii="TimesNewRomanPSMT" w:hAnsi="TimesNewRomanPSMT" w:cs="TimesNewRomanPSMT"/>
          <w:sz w:val="24"/>
          <w:szCs w:val="24"/>
        </w:rPr>
        <w:t xml:space="preserve">re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gli interessati all’acquisto </w:t>
      </w:r>
      <w:r w:rsidR="5027A4EF" w:rsidRPr="00BD2AB8">
        <w:rPr>
          <w:rFonts w:ascii="TimesNewRomanPSMT" w:hAnsi="TimesNewRomanPSMT" w:cs="TimesNewRomanPSMT"/>
          <w:sz w:val="24"/>
          <w:szCs w:val="24"/>
        </w:rPr>
        <w:t xml:space="preserve">a </w:t>
      </w:r>
      <w:r w:rsidRPr="00BD2AB8">
        <w:rPr>
          <w:rFonts w:ascii="TimesNewRomanPSMT" w:hAnsi="TimesNewRomanPSMT" w:cs="TimesNewRomanPSMT"/>
          <w:sz w:val="24"/>
          <w:szCs w:val="24"/>
        </w:rPr>
        <w:t>visita</w:t>
      </w:r>
      <w:r w:rsidR="25A855B7" w:rsidRPr="00BD2AB8">
        <w:rPr>
          <w:rFonts w:ascii="TimesNewRomanPSMT" w:hAnsi="TimesNewRomanPSMT" w:cs="TimesNewRomanPSMT"/>
          <w:sz w:val="24"/>
          <w:szCs w:val="24"/>
        </w:rPr>
        <w:t>re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11A08F8A" w:rsidRPr="00BD2AB8">
        <w:rPr>
          <w:rFonts w:ascii="TimesNewRomanPSMT" w:hAnsi="TimesNewRomanPSMT" w:cs="TimesNewRomanPSMT"/>
          <w:sz w:val="24"/>
          <w:szCs w:val="24"/>
        </w:rPr>
        <w:t>gli i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mmobili sin dal primo giorno di </w:t>
      </w:r>
      <w:r w:rsidR="1B4D2A7D" w:rsidRPr="00BD2AB8">
        <w:rPr>
          <w:rFonts w:ascii="TimesNewRomanPSMT" w:hAnsi="TimesNewRomanPSMT" w:cs="TimesNewRomanPSMT"/>
          <w:sz w:val="24"/>
          <w:szCs w:val="24"/>
        </w:rPr>
        <w:t xml:space="preserve">effettuazione degli adempimenti pubblicitari, la pubblicazione degli avvisi di vendita </w:t>
      </w:r>
      <w:r w:rsidR="1B4D2A7D"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dovrà avvenire a far data dal </w:t>
      </w:r>
      <w:r w:rsidR="000A2DC4">
        <w:rPr>
          <w:rFonts w:ascii="TimesNewRomanPSMT" w:hAnsi="TimesNewRomanPSMT" w:cs="TimesNewRomanPSMT"/>
          <w:b/>
          <w:bCs/>
          <w:sz w:val="24"/>
          <w:szCs w:val="24"/>
        </w:rPr>
        <w:t>1</w:t>
      </w:r>
      <w:r w:rsidR="00093934">
        <w:rPr>
          <w:rFonts w:ascii="TimesNewRomanPSMT" w:hAnsi="TimesNewRomanPSMT" w:cs="TimesNewRomanPSMT"/>
          <w:b/>
          <w:bCs/>
          <w:sz w:val="24"/>
          <w:szCs w:val="24"/>
        </w:rPr>
        <w:t>°</w:t>
      </w:r>
      <w:r w:rsidR="000A2DC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AA1788">
        <w:rPr>
          <w:rFonts w:ascii="TimesNewRomanPSMT" w:hAnsi="TimesNewRomanPSMT" w:cs="TimesNewRomanPSMT"/>
          <w:b/>
          <w:bCs/>
          <w:sz w:val="24"/>
          <w:szCs w:val="24"/>
        </w:rPr>
        <w:t>luglio</w:t>
      </w:r>
      <w:r w:rsidR="000A2DC4">
        <w:rPr>
          <w:rFonts w:ascii="TimesNewRomanPSMT" w:hAnsi="TimesNewRomanPSMT" w:cs="TimesNewRomanPSMT"/>
          <w:b/>
          <w:bCs/>
          <w:sz w:val="24"/>
          <w:szCs w:val="24"/>
        </w:rPr>
        <w:t xml:space="preserve"> 2021</w:t>
      </w:r>
      <w:r w:rsidR="1B4D2A7D"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; conseguentemente gli esperimenti di vendita delle </w:t>
      </w:r>
      <w:r w:rsidR="1D7C842C" w:rsidRPr="00BD2AB8">
        <w:rPr>
          <w:rFonts w:ascii="TimesNewRomanPSMT" w:hAnsi="TimesNewRomanPSMT" w:cs="TimesNewRomanPSMT"/>
          <w:b/>
          <w:bCs/>
          <w:sz w:val="24"/>
          <w:szCs w:val="24"/>
        </w:rPr>
        <w:t>abitazioni principali non potranno essere fissa</w:t>
      </w:r>
      <w:r w:rsidR="0DAE7968"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ti prima del 1° </w:t>
      </w:r>
      <w:r w:rsidR="00B237A0">
        <w:rPr>
          <w:rFonts w:ascii="TimesNewRomanPSMT" w:hAnsi="TimesNewRomanPSMT" w:cs="TimesNewRomanPSMT"/>
          <w:b/>
          <w:bCs/>
          <w:sz w:val="24"/>
          <w:szCs w:val="24"/>
        </w:rPr>
        <w:t>ottobre</w:t>
      </w:r>
      <w:r w:rsidR="000A2DC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DAE7968"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 202</w:t>
      </w:r>
      <w:r w:rsidR="4F1F8568" w:rsidRPr="00BD2AB8">
        <w:rPr>
          <w:rFonts w:ascii="TimesNewRomanPSMT" w:hAnsi="TimesNewRomanPSMT" w:cs="TimesNewRomanPSMT"/>
          <w:b/>
          <w:bCs/>
          <w:sz w:val="24"/>
          <w:szCs w:val="24"/>
        </w:rPr>
        <w:t>1</w:t>
      </w:r>
      <w:r w:rsidR="00850F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850F1D" w:rsidRPr="005D366E">
        <w:rPr>
          <w:rFonts w:ascii="TimesNewRomanPSMT" w:hAnsi="TimesNewRomanPSMT" w:cs="TimesNewRomanPSMT"/>
          <w:bCs/>
          <w:sz w:val="24"/>
          <w:szCs w:val="24"/>
        </w:rPr>
        <w:t>(</w:t>
      </w:r>
      <w:r w:rsidR="00426B7C" w:rsidRPr="005D366E">
        <w:rPr>
          <w:rFonts w:ascii="TimesNewRomanPSMT" w:hAnsi="TimesNewRomanPSMT" w:cs="TimesNewRomanPSMT"/>
          <w:sz w:val="24"/>
          <w:szCs w:val="24"/>
        </w:rPr>
        <w:t>n</w:t>
      </w:r>
      <w:r w:rsidR="00426B7C" w:rsidRPr="00850FB2">
        <w:rPr>
          <w:rFonts w:ascii="TimesNewRomanPSMT" w:hAnsi="TimesNewRomanPSMT" w:cs="TimesNewRomanPSMT"/>
          <w:sz w:val="24"/>
          <w:szCs w:val="24"/>
        </w:rPr>
        <w:t>on applicandosi la sospensione feriale</w:t>
      </w:r>
      <w:r w:rsidR="00850FB2">
        <w:rPr>
          <w:rFonts w:ascii="TimesNewRomanPSMT" w:hAnsi="TimesNewRomanPSMT" w:cs="TimesNewRomanPSMT"/>
          <w:sz w:val="24"/>
          <w:szCs w:val="24"/>
        </w:rPr>
        <w:t xml:space="preserve"> dei termini</w:t>
      </w:r>
      <w:r w:rsidR="00426B7C" w:rsidRPr="00850FB2">
        <w:rPr>
          <w:rFonts w:ascii="TimesNewRomanPSMT" w:hAnsi="TimesNewRomanPSMT" w:cs="TimesNewRomanPSMT"/>
          <w:sz w:val="24"/>
          <w:szCs w:val="24"/>
        </w:rPr>
        <w:t xml:space="preserve"> alla pubblicità dell’avviso di vendita </w:t>
      </w:r>
      <w:r w:rsidR="00850FB2" w:rsidRPr="00850FB2">
        <w:rPr>
          <w:rFonts w:ascii="TimesNewRomanPSMT" w:hAnsi="TimesNewRomanPSMT" w:cs="TimesNewRomanPSMT"/>
          <w:sz w:val="24"/>
          <w:szCs w:val="24"/>
        </w:rPr>
        <w:t>ed alle attività di visita funzionali alla formulazione delle offerte di acquisto)</w:t>
      </w:r>
      <w:r w:rsidR="218510CE" w:rsidRPr="00BD2AB8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</w:p>
    <w:p w14:paraId="30E38089" w14:textId="33F9E114" w:rsidR="65787F35" w:rsidRPr="00BD2AB8" w:rsidRDefault="65787F35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E45938" w14:textId="691C57A7" w:rsidR="00622F7A" w:rsidRPr="00BD2AB8" w:rsidRDefault="00A55F64" w:rsidP="348362D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 w:rsidRPr="348362D1">
        <w:rPr>
          <w:rFonts w:ascii="TimesNewRomanPSMT" w:hAnsi="TimesNewRomanPSMT" w:cs="TimesNewRomanPSMT"/>
          <w:sz w:val="24"/>
          <w:szCs w:val="24"/>
        </w:rPr>
        <w:t xml:space="preserve">La sospensione ai sensi dell’art. 54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cit. </w:t>
      </w:r>
      <w:r w:rsidRPr="005D366E">
        <w:rPr>
          <w:rFonts w:ascii="TimesNewRomanPSMT" w:hAnsi="TimesNewRomanPSMT" w:cs="TimesNewRomanPSMT"/>
          <w:b/>
          <w:sz w:val="24"/>
          <w:szCs w:val="24"/>
        </w:rPr>
        <w:t>non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si cumula con l’eventuale sospensione</w:t>
      </w:r>
      <w:r w:rsidR="00622F7A" w:rsidRPr="348362D1">
        <w:rPr>
          <w:rFonts w:ascii="TimesNewRomanPSMT" w:hAnsi="TimesNewRomanPSMT" w:cs="TimesNewRomanPSMT"/>
          <w:sz w:val="24"/>
          <w:szCs w:val="24"/>
        </w:rPr>
        <w:t xml:space="preserve">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dell’esecuzione in atto per diversa causa (sospensione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art. 624 c.p.c., sospensione concordata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>ex</w:t>
      </w:r>
      <w:r w:rsidR="00622F7A"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art. 624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bis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c.p.c., sospensione </w:t>
      </w:r>
      <w:r w:rsidRPr="348362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 </w:t>
      </w:r>
      <w:r w:rsidRPr="348362D1">
        <w:rPr>
          <w:rFonts w:ascii="TimesNewRomanPSMT" w:hAnsi="TimesNewRomanPSMT" w:cs="TimesNewRomanPSMT"/>
          <w:sz w:val="24"/>
          <w:szCs w:val="24"/>
        </w:rPr>
        <w:t>art. 600 c.p.c.</w:t>
      </w:r>
      <w:r w:rsidR="236C93B8" w:rsidRPr="348362D1">
        <w:rPr>
          <w:rFonts w:ascii="TimesNewRomanPSMT" w:hAnsi="TimesNewRomanPSMT" w:cs="TimesNewRomanPSMT"/>
          <w:sz w:val="24"/>
          <w:szCs w:val="24"/>
        </w:rPr>
        <w:t>) né</w:t>
      </w:r>
      <w:r w:rsidR="00093934">
        <w:rPr>
          <w:rFonts w:ascii="TimesNewRomanPSMT" w:hAnsi="TimesNewRomanPSMT" w:cs="TimesNewRomanPSMT"/>
          <w:sz w:val="24"/>
          <w:szCs w:val="24"/>
        </w:rPr>
        <w:t xml:space="preserve"> </w:t>
      </w:r>
      <w:r w:rsidR="236C93B8" w:rsidRPr="348362D1">
        <w:rPr>
          <w:rFonts w:ascii="TimesNewRomanPSMT" w:hAnsi="TimesNewRomanPSMT" w:cs="TimesNewRomanPSMT"/>
          <w:sz w:val="24"/>
          <w:szCs w:val="24"/>
        </w:rPr>
        <w:t>con la sospensione feriale.</w:t>
      </w:r>
    </w:p>
    <w:p w14:paraId="1C0CF2B5" w14:textId="286EA5BC" w:rsidR="00622F7A" w:rsidRPr="00BD2AB8" w:rsidRDefault="00622F7A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3BA95A" w14:textId="783487C4" w:rsidR="00622F7A" w:rsidRPr="00BD2AB8" w:rsidRDefault="236C93B8" w:rsidP="65787F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Laddo</w:t>
      </w:r>
      <w:r w:rsidR="2604156D" w:rsidRPr="00BD2AB8">
        <w:rPr>
          <w:rFonts w:ascii="TimesNewRomanPSMT" w:hAnsi="TimesNewRomanPSMT" w:cs="TimesNewRomanPSMT"/>
          <w:sz w:val="24"/>
          <w:szCs w:val="24"/>
        </w:rPr>
        <w:t>v</w:t>
      </w:r>
      <w:r w:rsidRPr="00BD2AB8">
        <w:rPr>
          <w:rFonts w:ascii="TimesNewRomanPSMT" w:hAnsi="TimesNewRomanPSMT" w:cs="TimesNewRomanPSMT"/>
          <w:sz w:val="24"/>
          <w:szCs w:val="24"/>
        </w:rPr>
        <w:t>e sia pendente un</w:t>
      </w:r>
      <w:r w:rsidRPr="00BD2AB8">
        <w:rPr>
          <w:rFonts w:ascii="TimesNewRomanPSMT" w:hAnsi="TimesNewRomanPSMT" w:cs="TimesNewRomanPSMT"/>
          <w:b/>
          <w:bCs/>
          <w:sz w:val="24"/>
          <w:szCs w:val="24"/>
        </w:rPr>
        <w:t xml:space="preserve"> giudizio di divisione </w:t>
      </w:r>
      <w:proofErr w:type="spellStart"/>
      <w:r w:rsidRPr="00BD2AB8">
        <w:rPr>
          <w:rFonts w:ascii="TimesNewRomanPSMT" w:hAnsi="TimesNewRomanPSMT" w:cs="TimesNewRomanPSMT"/>
          <w:b/>
          <w:bCs/>
          <w:sz w:val="24"/>
          <w:szCs w:val="24"/>
        </w:rPr>
        <w:t>endo</w:t>
      </w:r>
      <w:proofErr w:type="spellEnd"/>
      <w:r w:rsidRPr="00BD2AB8">
        <w:rPr>
          <w:rFonts w:ascii="TimesNewRomanPSMT" w:hAnsi="TimesNewRomanPSMT" w:cs="TimesNewRomanPSMT"/>
          <w:b/>
          <w:bCs/>
          <w:sz w:val="24"/>
          <w:szCs w:val="24"/>
        </w:rPr>
        <w:t>-esecutiv</w:t>
      </w:r>
      <w:r w:rsidR="6D0F271F" w:rsidRPr="00BD2AB8">
        <w:rPr>
          <w:rFonts w:ascii="TimesNewRomanPSMT" w:hAnsi="TimesNewRomanPSMT" w:cs="TimesNewRomanPSMT"/>
          <w:b/>
          <w:bCs/>
          <w:sz w:val="24"/>
          <w:szCs w:val="24"/>
        </w:rPr>
        <w:t>o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avente ad oggetto l’abitazione principale dell’esecutato</w:t>
      </w:r>
      <w:r w:rsidR="00A55F64" w:rsidRPr="00BD2AB8">
        <w:rPr>
          <w:rFonts w:ascii="TimesNewRomanPSMT" w:hAnsi="TimesNewRomanPSMT" w:cs="TimesNewRomanPSMT"/>
          <w:sz w:val="24"/>
          <w:szCs w:val="24"/>
        </w:rPr>
        <w:t xml:space="preserve">, </w:t>
      </w:r>
      <w:r w:rsidR="502D349B" w:rsidRPr="00BD2AB8">
        <w:rPr>
          <w:rFonts w:ascii="TimesNewRomanPSMT" w:hAnsi="TimesNewRomanPSMT" w:cs="TimesNewRomanPSMT"/>
          <w:sz w:val="24"/>
          <w:szCs w:val="24"/>
        </w:rPr>
        <w:t>la circostanza dovrà essere sottoposta al Giudice dalle parti, dal perito</w:t>
      </w:r>
      <w:r w:rsidR="733CB647" w:rsidRPr="00BD2AB8">
        <w:rPr>
          <w:rFonts w:ascii="TimesNewRomanPSMT" w:hAnsi="TimesNewRomanPSMT" w:cs="TimesNewRomanPSMT"/>
          <w:sz w:val="24"/>
          <w:szCs w:val="24"/>
        </w:rPr>
        <w:t xml:space="preserve"> eventualmente nominato</w:t>
      </w:r>
      <w:r w:rsidR="3ED05A45" w:rsidRPr="00BD2AB8">
        <w:rPr>
          <w:rFonts w:ascii="TimesNewRomanPSMT" w:hAnsi="TimesNewRomanPSMT" w:cs="TimesNewRomanPSMT"/>
          <w:sz w:val="24"/>
          <w:szCs w:val="24"/>
        </w:rPr>
        <w:t>,</w:t>
      </w:r>
      <w:r w:rsidR="733CB647" w:rsidRPr="00BD2AB8">
        <w:rPr>
          <w:rFonts w:ascii="TimesNewRomanPSMT" w:hAnsi="TimesNewRomanPSMT" w:cs="TimesNewRomanPSMT"/>
          <w:sz w:val="24"/>
          <w:szCs w:val="24"/>
        </w:rPr>
        <w:t xml:space="preserve"> dal professionista delegato</w:t>
      </w:r>
      <w:r w:rsidR="0498370D" w:rsidRPr="00BD2AB8">
        <w:rPr>
          <w:rFonts w:ascii="TimesNewRomanPSMT" w:hAnsi="TimesNewRomanPSMT" w:cs="TimesNewRomanPSMT"/>
          <w:sz w:val="24"/>
          <w:szCs w:val="24"/>
        </w:rPr>
        <w:t xml:space="preserve"> o dal custode</w:t>
      </w:r>
      <w:r w:rsidR="733CB647" w:rsidRPr="00BD2AB8">
        <w:rPr>
          <w:rFonts w:ascii="TimesNewRomanPSMT" w:hAnsi="TimesNewRomanPSMT" w:cs="TimesNewRomanPSMT"/>
          <w:sz w:val="24"/>
          <w:szCs w:val="24"/>
        </w:rPr>
        <w:t xml:space="preserve">, </w:t>
      </w:r>
      <w:r w:rsidR="502D349B" w:rsidRPr="00BD2AB8">
        <w:rPr>
          <w:rFonts w:ascii="TimesNewRomanPSMT" w:hAnsi="TimesNewRomanPSMT" w:cs="TimesNewRomanPSMT"/>
          <w:sz w:val="24"/>
          <w:szCs w:val="24"/>
        </w:rPr>
        <w:t>per l’ad</w:t>
      </w:r>
      <w:r w:rsidR="5FAE6BE0" w:rsidRPr="00BD2AB8">
        <w:rPr>
          <w:rFonts w:ascii="TimesNewRomanPSMT" w:hAnsi="TimesNewRomanPSMT" w:cs="TimesNewRomanPSMT"/>
          <w:sz w:val="24"/>
          <w:szCs w:val="24"/>
        </w:rPr>
        <w:t>o</w:t>
      </w:r>
      <w:r w:rsidR="50A19207" w:rsidRPr="00BD2AB8">
        <w:rPr>
          <w:rFonts w:ascii="TimesNewRomanPSMT" w:hAnsi="TimesNewRomanPSMT" w:cs="TimesNewRomanPSMT"/>
          <w:sz w:val="24"/>
          <w:szCs w:val="24"/>
        </w:rPr>
        <w:t>z</w:t>
      </w:r>
      <w:r w:rsidR="502D349B" w:rsidRPr="00BD2AB8">
        <w:rPr>
          <w:rFonts w:ascii="TimesNewRomanPSMT" w:hAnsi="TimesNewRomanPSMT" w:cs="TimesNewRomanPSMT"/>
          <w:sz w:val="24"/>
          <w:szCs w:val="24"/>
        </w:rPr>
        <w:t>ione dei provvedimenti conseguenti</w:t>
      </w:r>
      <w:r w:rsidR="465936A8" w:rsidRPr="00BD2AB8">
        <w:rPr>
          <w:rFonts w:ascii="TimesNewRomanPSMT" w:hAnsi="TimesNewRomanPSMT" w:cs="TimesNewRomanPSMT"/>
          <w:sz w:val="24"/>
          <w:szCs w:val="24"/>
        </w:rPr>
        <w:t>.</w:t>
      </w:r>
    </w:p>
    <w:p w14:paraId="069C6C98" w14:textId="05628269" w:rsidR="65787F35" w:rsidRPr="00BD2AB8" w:rsidRDefault="65787F35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D5B990B" w14:textId="572123C1" w:rsidR="1EB7D832" w:rsidRPr="00BD2AB8" w:rsidRDefault="1EB7D832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Si invitano:</w:t>
      </w:r>
    </w:p>
    <w:p w14:paraId="65AC7CA6" w14:textId="124961A4" w:rsidR="00B817DD" w:rsidRPr="00BD2AB8" w:rsidRDefault="5CB2FE20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 New Roman" w:hAnsi="Times New Roman" w:cs="Times New Roman"/>
          <w:sz w:val="24"/>
          <w:szCs w:val="24"/>
        </w:rPr>
        <w:t>1</w:t>
      </w:r>
      <w:r w:rsidR="1EB7D832" w:rsidRPr="00BD2AB8">
        <w:rPr>
          <w:rFonts w:ascii="Times New Roman" w:hAnsi="Times New Roman" w:cs="Times New Roman"/>
          <w:sz w:val="24"/>
          <w:szCs w:val="24"/>
        </w:rPr>
        <w:t>) i</w:t>
      </w:r>
      <w:r w:rsidR="00686FB5" w:rsidRPr="00BD2AB8">
        <w:rPr>
          <w:rFonts w:ascii="TimesNewRomanPSMT" w:hAnsi="TimesNewRomanPSMT" w:cs="TimesNewRomanPSMT"/>
          <w:sz w:val="24"/>
          <w:szCs w:val="24"/>
        </w:rPr>
        <w:t xml:space="preserve"> professionisti del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>egat</w:t>
      </w:r>
      <w:r w:rsidR="00686FB5" w:rsidRPr="00BD2AB8">
        <w:rPr>
          <w:rFonts w:ascii="TimesNewRomanPSMT" w:hAnsi="TimesNewRomanPSMT" w:cs="TimesNewRomanPSMT"/>
          <w:sz w:val="24"/>
          <w:szCs w:val="24"/>
        </w:rPr>
        <w:t xml:space="preserve">i </w:t>
      </w:r>
      <w:r w:rsidR="067D3785" w:rsidRPr="00BD2AB8">
        <w:rPr>
          <w:rFonts w:ascii="TimesNewRomanPSMT" w:hAnsi="TimesNewRomanPSMT" w:cs="TimesNewRomanPSMT"/>
          <w:sz w:val="24"/>
          <w:szCs w:val="24"/>
        </w:rPr>
        <w:t>ad</w:t>
      </w:r>
      <w:r w:rsidR="00B42096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>effettuare, prima di compiere qualsiasi atto del</w:t>
      </w:r>
      <w:r w:rsidR="00B42096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>subprocedimento liquidatorio (avviso di vendita, pubblicità, tenuta dell’esperimento di vendita)</w:t>
      </w:r>
      <w:r w:rsidR="00686FB5" w:rsidRPr="00BD2AB8">
        <w:rPr>
          <w:rFonts w:ascii="TimesNewRomanPSMT" w:hAnsi="TimesNewRomanPSMT" w:cs="TimesNewRomanPSMT"/>
          <w:sz w:val="24"/>
          <w:szCs w:val="24"/>
        </w:rPr>
        <w:t>,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 xml:space="preserve"> la verifica dei presupposti di </w:t>
      </w:r>
      <w:r w:rsidR="00686FB5" w:rsidRPr="00BD2AB8">
        <w:rPr>
          <w:rFonts w:ascii="TimesNewRomanPSMT" w:hAnsi="TimesNewRomanPSMT" w:cs="TimesNewRomanPSMT"/>
          <w:sz w:val="24"/>
          <w:szCs w:val="24"/>
        </w:rPr>
        <w:t xml:space="preserve">sospensione della procedura ex 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>art. 54</w:t>
      </w:r>
      <w:r w:rsidR="266CC434"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 xml:space="preserve">ter L. cit., come </w:t>
      </w:r>
      <w:r w:rsidR="00686FB5" w:rsidRPr="00BD2AB8">
        <w:rPr>
          <w:rFonts w:ascii="TimesNewRomanPSMT" w:hAnsi="TimesNewRomanPSMT" w:cs="TimesNewRomanPSMT"/>
          <w:sz w:val="24"/>
          <w:szCs w:val="24"/>
        </w:rPr>
        <w:t xml:space="preserve">sopra </w:t>
      </w:r>
      <w:r w:rsidR="00B817DD" w:rsidRPr="00BD2AB8">
        <w:rPr>
          <w:rFonts w:ascii="TimesNewRomanPSMT" w:hAnsi="TimesNewRomanPSMT" w:cs="TimesNewRomanPSMT"/>
          <w:sz w:val="24"/>
          <w:szCs w:val="24"/>
        </w:rPr>
        <w:t>indicati</w:t>
      </w:r>
      <w:r w:rsidR="252B4E57" w:rsidRPr="00BD2AB8">
        <w:rPr>
          <w:rFonts w:ascii="TimesNewRomanPSMT" w:hAnsi="TimesNewRomanPSMT" w:cs="TimesNewRomanPSMT"/>
          <w:sz w:val="24"/>
          <w:szCs w:val="24"/>
        </w:rPr>
        <w:t>;</w:t>
      </w:r>
    </w:p>
    <w:p w14:paraId="57272D23" w14:textId="69D0F2D3" w:rsidR="4DB2B0DE" w:rsidRPr="00BD2AB8" w:rsidRDefault="4DB2B0DE" w:rsidP="7D739E42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2) i periti stimatori a</w:t>
      </w:r>
      <w:r w:rsidR="52014933" w:rsidRPr="00BD2AB8">
        <w:rPr>
          <w:rFonts w:ascii="TimesNewRomanPSMT" w:hAnsi="TimesNewRomanPSMT" w:cs="TimesNewRomanPSMT"/>
          <w:sz w:val="24"/>
          <w:szCs w:val="24"/>
        </w:rPr>
        <w:t>d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79D79181" w:rsidRPr="00BD2AB8">
        <w:rPr>
          <w:rFonts w:ascii="TimesNewRomanPSMT" w:hAnsi="TimesNewRomanPSMT" w:cs="TimesNewRomanPSMT"/>
          <w:sz w:val="24"/>
          <w:szCs w:val="24"/>
        </w:rPr>
        <w:t xml:space="preserve">attenersi alle indicazioni date </w:t>
      </w:r>
      <w:r w:rsidR="2D70A17F" w:rsidRPr="00BD2AB8">
        <w:rPr>
          <w:rFonts w:ascii="TimesNewRomanPSMT" w:hAnsi="TimesNewRomanPSMT" w:cs="TimesNewRomanPSMT"/>
          <w:sz w:val="24"/>
          <w:szCs w:val="24"/>
        </w:rPr>
        <w:t>sulla sospensione delle operazioni peritali e sulla segnalazione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al G.E.</w:t>
      </w:r>
      <w:r w:rsidR="3F99F401" w:rsidRPr="00BD2AB8">
        <w:rPr>
          <w:rFonts w:ascii="TimesNewRomanPSMT" w:hAnsi="TimesNewRomanPSMT" w:cs="TimesNewRomanPSMT"/>
          <w:sz w:val="24"/>
          <w:szCs w:val="24"/>
        </w:rPr>
        <w:t xml:space="preserve"> (nell’ipotesi di udienza 569/600 cpc fissata prima del </w:t>
      </w:r>
      <w:r w:rsidR="00B237A0">
        <w:rPr>
          <w:rFonts w:ascii="TimesNewRomanPSMT" w:hAnsi="TimesNewRomanPSMT" w:cs="TimesNewRomanPSMT"/>
          <w:sz w:val="24"/>
          <w:szCs w:val="24"/>
        </w:rPr>
        <w:t>30.6.2021</w:t>
      </w:r>
      <w:r w:rsidR="3F99F401" w:rsidRPr="00BD2AB8">
        <w:rPr>
          <w:rFonts w:ascii="TimesNewRomanPSMT" w:hAnsi="TimesNewRomanPSMT" w:cs="TimesNewRomanPSMT"/>
          <w:sz w:val="24"/>
          <w:szCs w:val="24"/>
        </w:rPr>
        <w:t>)</w:t>
      </w:r>
      <w:r w:rsidRPr="00BD2AB8">
        <w:rPr>
          <w:rFonts w:ascii="TimesNewRomanPSMT" w:hAnsi="TimesNewRomanPSMT" w:cs="TimesNewRomanPSMT"/>
          <w:sz w:val="24"/>
          <w:szCs w:val="24"/>
        </w:rPr>
        <w:t>;</w:t>
      </w:r>
    </w:p>
    <w:p w14:paraId="7823ADE1" w14:textId="51920EFA" w:rsidR="65787F35" w:rsidRPr="00BD2AB8" w:rsidRDefault="4DB2B0DE" w:rsidP="74D1BE24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D2AB8">
        <w:rPr>
          <w:rFonts w:ascii="TimesNewRomanPSMT" w:hAnsi="TimesNewRomanPSMT" w:cs="TimesNewRomanPSMT"/>
          <w:sz w:val="24"/>
          <w:szCs w:val="24"/>
        </w:rPr>
        <w:t>3) l’ISVEG s.r.l. e gli altri custodi giudiziari a</w:t>
      </w:r>
      <w:r w:rsidR="42398E4A" w:rsidRPr="00BD2AB8">
        <w:rPr>
          <w:rFonts w:ascii="TimesNewRomanPSMT" w:hAnsi="TimesNewRomanPSMT" w:cs="TimesNewRomanPSMT"/>
          <w:sz w:val="24"/>
          <w:szCs w:val="24"/>
        </w:rPr>
        <w:t>d attenersi alle indicazioni date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 </w:t>
      </w:r>
      <w:r w:rsidR="1F522EF9" w:rsidRPr="00BD2AB8">
        <w:rPr>
          <w:rFonts w:ascii="TimesNewRomanPSMT" w:hAnsi="TimesNewRomanPSMT" w:cs="TimesNewRomanPSMT"/>
          <w:sz w:val="24"/>
          <w:szCs w:val="24"/>
        </w:rPr>
        <w:t xml:space="preserve">e </w:t>
      </w:r>
      <w:r w:rsidRPr="00BD2AB8">
        <w:rPr>
          <w:rFonts w:ascii="TimesNewRomanPSMT" w:hAnsi="TimesNewRomanPSMT" w:cs="TimesNewRomanPSMT"/>
          <w:sz w:val="24"/>
          <w:szCs w:val="24"/>
        </w:rPr>
        <w:t xml:space="preserve">depositare note informative </w:t>
      </w:r>
      <w:r w:rsidR="56E55234" w:rsidRPr="00BD2AB8">
        <w:rPr>
          <w:rFonts w:ascii="TimesNewRomanPSMT" w:hAnsi="TimesNewRomanPSMT" w:cs="TimesNewRomanPSMT"/>
          <w:sz w:val="24"/>
          <w:szCs w:val="24"/>
        </w:rPr>
        <w:t>nelle procedure aventi ad oggetto abitazioni principali</w:t>
      </w:r>
      <w:r w:rsidR="6FCF371A" w:rsidRPr="00BD2AB8">
        <w:rPr>
          <w:rFonts w:ascii="TimesNewRomanPSMT" w:hAnsi="TimesNewRomanPSMT" w:cs="TimesNewRomanPSMT"/>
          <w:sz w:val="24"/>
          <w:szCs w:val="24"/>
        </w:rPr>
        <w:t xml:space="preserve"> nei termini di cui sopra.</w:t>
      </w:r>
    </w:p>
    <w:p w14:paraId="1B768A5D" w14:textId="007BB231" w:rsidR="65787F35" w:rsidRPr="00BD2AB8" w:rsidRDefault="65787F35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3D1A0BA" w14:textId="7679D051" w:rsidR="56E55234" w:rsidRDefault="00785E9F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348362D1">
        <w:rPr>
          <w:rFonts w:ascii="TimesNewRomanPSMT" w:hAnsi="TimesNewRomanPSMT" w:cs="TimesNewRomanPSMT"/>
          <w:sz w:val="24"/>
          <w:szCs w:val="24"/>
        </w:rPr>
        <w:t xml:space="preserve">Si manda </w:t>
      </w:r>
      <w:r w:rsidR="56E55234" w:rsidRPr="348362D1">
        <w:rPr>
          <w:rFonts w:ascii="TimesNewRomanPSMT" w:hAnsi="TimesNewRomanPSMT" w:cs="TimesNewRomanPSMT"/>
          <w:sz w:val="24"/>
          <w:szCs w:val="24"/>
        </w:rPr>
        <w:t xml:space="preserve">alla Cancelleria delle Esecuzioni Immobiliari di 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diffondere </w:t>
      </w:r>
      <w:r w:rsidR="56E55234" w:rsidRPr="348362D1">
        <w:rPr>
          <w:rFonts w:ascii="TimesNewRomanPSMT" w:hAnsi="TimesNewRomanPSMT" w:cs="TimesNewRomanPSMT"/>
          <w:sz w:val="24"/>
          <w:szCs w:val="24"/>
        </w:rPr>
        <w:t>la presen</w:t>
      </w:r>
      <w:r w:rsidR="35979F9E" w:rsidRPr="348362D1">
        <w:rPr>
          <w:rFonts w:ascii="TimesNewRomanPSMT" w:hAnsi="TimesNewRomanPSMT" w:cs="TimesNewRomanPSMT"/>
          <w:sz w:val="24"/>
          <w:szCs w:val="24"/>
        </w:rPr>
        <w:t>t</w:t>
      </w:r>
      <w:r w:rsidR="56E55234" w:rsidRPr="348362D1">
        <w:rPr>
          <w:rFonts w:ascii="TimesNewRomanPSMT" w:hAnsi="TimesNewRomanPSMT" w:cs="TimesNewRomanPSMT"/>
          <w:sz w:val="24"/>
          <w:szCs w:val="24"/>
        </w:rPr>
        <w:t>e circolare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mediante</w:t>
      </w:r>
      <w:r w:rsidR="56E55234" w:rsidRPr="348362D1">
        <w:rPr>
          <w:rFonts w:ascii="TimesNewRomanPSMT" w:hAnsi="TimesNewRomanPSMT" w:cs="TimesNewRomanPSMT"/>
          <w:sz w:val="24"/>
          <w:szCs w:val="24"/>
        </w:rPr>
        <w:t>: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comunicazione ad Aste Giudiziarie Inlin</w:t>
      </w:r>
      <w:r w:rsidR="00B237A0">
        <w:rPr>
          <w:rFonts w:ascii="TimesNewRomanPSMT" w:hAnsi="TimesNewRomanPSMT" w:cs="TimesNewRomanPSMT"/>
          <w:sz w:val="24"/>
          <w:szCs w:val="24"/>
        </w:rPr>
        <w:t>e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a </w:t>
      </w:r>
      <w:proofErr w:type="spellStart"/>
      <w:r w:rsidRPr="348362D1">
        <w:rPr>
          <w:rFonts w:ascii="TimesNewRomanPSMT" w:hAnsi="TimesNewRomanPSMT" w:cs="TimesNewRomanPSMT"/>
          <w:sz w:val="24"/>
          <w:szCs w:val="24"/>
        </w:rPr>
        <w:t>s.p.a.</w:t>
      </w:r>
      <w:proofErr w:type="spellEnd"/>
      <w:r w:rsidRPr="348362D1">
        <w:rPr>
          <w:rFonts w:ascii="TimesNewRomanPSMT" w:hAnsi="TimesNewRomanPSMT" w:cs="TimesNewRomanPSMT"/>
          <w:sz w:val="24"/>
          <w:szCs w:val="24"/>
        </w:rPr>
        <w:t xml:space="preserve"> </w:t>
      </w:r>
      <w:r w:rsidR="00D87708" w:rsidRPr="348362D1">
        <w:rPr>
          <w:rFonts w:ascii="TimesNewRomanPSMT" w:hAnsi="TimesNewRomanPSMT" w:cs="TimesNewRomanPSMT"/>
          <w:sz w:val="24"/>
          <w:szCs w:val="24"/>
        </w:rPr>
        <w:t>affinché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ne curi la pubblicazione sul sito </w:t>
      </w:r>
      <w:r w:rsidRPr="00D87708">
        <w:rPr>
          <w:rFonts w:ascii="TimesNewRomanPSMT" w:hAnsi="TimesNewRomanPSMT" w:cs="TimesNewRomanPSMT"/>
          <w:i/>
          <w:iCs/>
          <w:sz w:val="24"/>
          <w:szCs w:val="24"/>
        </w:rPr>
        <w:t>web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del Tribunale di Pistoia; inoltro via </w:t>
      </w:r>
      <w:r w:rsidRPr="00D87708">
        <w:rPr>
          <w:rFonts w:ascii="TimesNewRomanPSMT" w:hAnsi="TimesNewRomanPSMT" w:cs="TimesNewRomanPSMT"/>
          <w:i/>
          <w:iCs/>
          <w:sz w:val="24"/>
          <w:szCs w:val="24"/>
        </w:rPr>
        <w:t>mail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a tutti i professionisti delegati (se del caso avvalendosi della collaborazione del gestore delle vendite telematiche Aste Giudiziarie </w:t>
      </w:r>
      <w:r w:rsidRPr="00093934">
        <w:rPr>
          <w:rFonts w:ascii="TimesNewRomanPSMT" w:hAnsi="TimesNewRomanPSMT" w:cs="TimesNewRomanPSMT"/>
          <w:sz w:val="24"/>
          <w:szCs w:val="24"/>
        </w:rPr>
        <w:t>Inlin</w:t>
      </w:r>
      <w:r w:rsidR="54E9CBEF" w:rsidRPr="00093934">
        <w:rPr>
          <w:rFonts w:ascii="TimesNewRomanPSMT" w:hAnsi="TimesNewRomanPSMT" w:cs="TimesNewRomanPSMT"/>
          <w:sz w:val="24"/>
          <w:szCs w:val="24"/>
        </w:rPr>
        <w:t>e</w:t>
      </w:r>
      <w:r w:rsidRPr="00093934">
        <w:rPr>
          <w:rFonts w:ascii="TimesNewRomanPSMT" w:hAnsi="TimesNewRomanPSMT" w:cs="TimesNewRomanPSMT"/>
          <w:sz w:val="24"/>
          <w:szCs w:val="24"/>
        </w:rPr>
        <w:t>a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348362D1">
        <w:rPr>
          <w:rFonts w:ascii="TimesNewRomanPSMT" w:hAnsi="TimesNewRomanPSMT" w:cs="TimesNewRomanPSMT"/>
          <w:sz w:val="24"/>
          <w:szCs w:val="24"/>
        </w:rPr>
        <w:t>s.p.a.</w:t>
      </w:r>
      <w:proofErr w:type="spellEnd"/>
      <w:r w:rsidRPr="348362D1">
        <w:rPr>
          <w:rFonts w:ascii="TimesNewRomanPSMT" w:hAnsi="TimesNewRomanPSMT" w:cs="TimesNewRomanPSMT"/>
          <w:sz w:val="24"/>
          <w:szCs w:val="24"/>
        </w:rPr>
        <w:t xml:space="preserve">); comunicazione all’ISVEG s.r.l.; comunicazione mediante PEC a tutti i notai delegati; comunicazione al Presidente del </w:t>
      </w:r>
      <w:r w:rsidRPr="348362D1">
        <w:rPr>
          <w:rFonts w:ascii="TimesNewRomanPSMT" w:hAnsi="TimesNewRomanPSMT" w:cs="TimesNewRomanPSMT"/>
          <w:sz w:val="24"/>
          <w:szCs w:val="24"/>
        </w:rPr>
        <w:lastRenderedPageBreak/>
        <w:t>Collegio dei Geometri, ai Presidenti dei Consigli degli Ordini degli Ingegneri e degli Architetti di Pistoia, al Presidente del Consiglio dell’Ordine degli Avvocati e al Presidente del Consiglio dell’Ordine dei Commercialisti di Pistoia affinché ne curino la diramazione presso i rispettivi iscritti</w:t>
      </w:r>
      <w:r w:rsidR="00227928" w:rsidRPr="348362D1">
        <w:rPr>
          <w:rFonts w:ascii="TimesNewRomanPSMT" w:hAnsi="TimesNewRomanPSMT" w:cs="TimesNewRomanPSMT"/>
          <w:sz w:val="24"/>
          <w:szCs w:val="24"/>
        </w:rPr>
        <w:t>.</w:t>
      </w:r>
    </w:p>
    <w:p w14:paraId="75C9074A" w14:textId="70432743" w:rsidR="00227928" w:rsidRDefault="00227928" w:rsidP="65787F35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Pistoia </w:t>
      </w:r>
      <w:r w:rsidR="005D366E">
        <w:rPr>
          <w:rFonts w:ascii="TimesNewRomanPSMT" w:hAnsi="TimesNewRomanPSMT" w:cs="TimesNewRomanPSMT"/>
          <w:sz w:val="24"/>
          <w:szCs w:val="24"/>
        </w:rPr>
        <w:t>4</w:t>
      </w:r>
      <w:r w:rsidR="00D87708">
        <w:rPr>
          <w:rFonts w:ascii="TimesNewRomanPSMT" w:hAnsi="TimesNewRomanPSMT" w:cs="TimesNewRomanPSMT"/>
          <w:sz w:val="24"/>
          <w:szCs w:val="24"/>
        </w:rPr>
        <w:t>.1.2021</w:t>
      </w:r>
    </w:p>
    <w:p w14:paraId="2302A5EA" w14:textId="106569D9" w:rsidR="00227928" w:rsidRDefault="00227928" w:rsidP="00227928">
      <w:pPr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G.E.</w:t>
      </w:r>
    </w:p>
    <w:p w14:paraId="1ECF43B6" w14:textId="3F918B57" w:rsidR="00227928" w:rsidRPr="00BD2AB8" w:rsidRDefault="00227928" w:rsidP="00227928">
      <w:pPr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348362D1">
        <w:rPr>
          <w:rFonts w:ascii="TimesNewRomanPSMT" w:hAnsi="TimesNewRomanPSMT" w:cs="TimesNewRomanPSMT"/>
          <w:sz w:val="24"/>
          <w:szCs w:val="24"/>
        </w:rPr>
        <w:t>Dott.ssa Nicoletta Curci</w:t>
      </w:r>
      <w:r w:rsidR="601DD968" w:rsidRPr="348362D1">
        <w:rPr>
          <w:rFonts w:ascii="TimesNewRomanPSMT" w:hAnsi="TimesNewRomanPSMT" w:cs="TimesNewRomanPSMT"/>
          <w:sz w:val="24"/>
          <w:szCs w:val="24"/>
        </w:rPr>
        <w:t>,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Dott. Filippo Fontani</w:t>
      </w:r>
      <w:r w:rsidR="3613A665" w:rsidRPr="348362D1">
        <w:rPr>
          <w:rFonts w:ascii="TimesNewRomanPSMT" w:hAnsi="TimesNewRomanPSMT" w:cs="TimesNewRomanPSMT"/>
          <w:sz w:val="24"/>
          <w:szCs w:val="24"/>
        </w:rPr>
        <w:t>,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Dott. Sergio Garofalo</w:t>
      </w:r>
      <w:r w:rsidR="38C457D6" w:rsidRPr="348362D1">
        <w:rPr>
          <w:rFonts w:ascii="TimesNewRomanPSMT" w:hAnsi="TimesNewRomanPSMT" w:cs="TimesNewRomanPSMT"/>
          <w:sz w:val="24"/>
          <w:szCs w:val="24"/>
        </w:rPr>
        <w:t>,</w:t>
      </w:r>
      <w:r w:rsidRPr="348362D1">
        <w:rPr>
          <w:rFonts w:ascii="TimesNewRomanPSMT" w:hAnsi="TimesNewRomanPSMT" w:cs="TimesNewRomanPSMT"/>
          <w:sz w:val="24"/>
          <w:szCs w:val="24"/>
        </w:rPr>
        <w:t xml:space="preserve"> Dott.ssa Veronica Menchi</w:t>
      </w:r>
    </w:p>
    <w:p w14:paraId="43DCA189" w14:textId="67972447" w:rsidR="00622F7A" w:rsidRDefault="00622F7A" w:rsidP="005849B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22DD552" w14:textId="77777777" w:rsidR="004531A6" w:rsidRDefault="003B0D61" w:rsidP="005849BA">
      <w:pPr>
        <w:spacing w:line="360" w:lineRule="auto"/>
      </w:pPr>
    </w:p>
    <w:sectPr w:rsidR="004531A6" w:rsidSect="005D2C0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EB4"/>
    <w:multiLevelType w:val="hybridMultilevel"/>
    <w:tmpl w:val="08D88E82"/>
    <w:lvl w:ilvl="0" w:tplc="3FFC3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22F"/>
    <w:multiLevelType w:val="hybridMultilevel"/>
    <w:tmpl w:val="A2122742"/>
    <w:lvl w:ilvl="0" w:tplc="8174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CB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0B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C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C8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E4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4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00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1B7"/>
    <w:multiLevelType w:val="hybridMultilevel"/>
    <w:tmpl w:val="E4A2DADA"/>
    <w:lvl w:ilvl="0" w:tplc="76C0235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D362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EF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8B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D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8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4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00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8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77E2"/>
    <w:multiLevelType w:val="hybridMultilevel"/>
    <w:tmpl w:val="CBE6AD5A"/>
    <w:lvl w:ilvl="0" w:tplc="0BDEB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1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20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0F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0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6E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06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3F1D"/>
    <w:multiLevelType w:val="hybridMultilevel"/>
    <w:tmpl w:val="D69CDEE2"/>
    <w:lvl w:ilvl="0" w:tplc="1FFE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6D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8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2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4F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8C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B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C0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40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38B7"/>
    <w:multiLevelType w:val="hybridMultilevel"/>
    <w:tmpl w:val="E65E2F5E"/>
    <w:lvl w:ilvl="0" w:tplc="6FCA2682">
      <w:start w:val="1"/>
      <w:numFmt w:val="lowerLetter"/>
      <w:lvlText w:val="%1)"/>
      <w:lvlJc w:val="left"/>
      <w:pPr>
        <w:ind w:left="786" w:hanging="360"/>
      </w:pPr>
    </w:lvl>
    <w:lvl w:ilvl="1" w:tplc="8EB88D28">
      <w:start w:val="1"/>
      <w:numFmt w:val="lowerLetter"/>
      <w:lvlText w:val="%2."/>
      <w:lvlJc w:val="left"/>
      <w:pPr>
        <w:ind w:left="1506" w:hanging="360"/>
      </w:pPr>
    </w:lvl>
    <w:lvl w:ilvl="2" w:tplc="9C9EE924">
      <w:start w:val="1"/>
      <w:numFmt w:val="lowerRoman"/>
      <w:lvlText w:val="%3."/>
      <w:lvlJc w:val="right"/>
      <w:pPr>
        <w:ind w:left="2226" w:hanging="180"/>
      </w:pPr>
    </w:lvl>
    <w:lvl w:ilvl="3" w:tplc="B036BC18">
      <w:start w:val="1"/>
      <w:numFmt w:val="decimal"/>
      <w:lvlText w:val="%4."/>
      <w:lvlJc w:val="left"/>
      <w:pPr>
        <w:ind w:left="2946" w:hanging="360"/>
      </w:pPr>
    </w:lvl>
    <w:lvl w:ilvl="4" w:tplc="5428FB94">
      <w:start w:val="1"/>
      <w:numFmt w:val="lowerLetter"/>
      <w:lvlText w:val="%5."/>
      <w:lvlJc w:val="left"/>
      <w:pPr>
        <w:ind w:left="3666" w:hanging="360"/>
      </w:pPr>
    </w:lvl>
    <w:lvl w:ilvl="5" w:tplc="24CCF164">
      <w:start w:val="1"/>
      <w:numFmt w:val="lowerRoman"/>
      <w:lvlText w:val="%6."/>
      <w:lvlJc w:val="right"/>
      <w:pPr>
        <w:ind w:left="4386" w:hanging="180"/>
      </w:pPr>
    </w:lvl>
    <w:lvl w:ilvl="6" w:tplc="50D68B20">
      <w:start w:val="1"/>
      <w:numFmt w:val="decimal"/>
      <w:lvlText w:val="%7."/>
      <w:lvlJc w:val="left"/>
      <w:pPr>
        <w:ind w:left="5106" w:hanging="360"/>
      </w:pPr>
    </w:lvl>
    <w:lvl w:ilvl="7" w:tplc="E90C3410">
      <w:start w:val="1"/>
      <w:numFmt w:val="lowerLetter"/>
      <w:lvlText w:val="%8."/>
      <w:lvlJc w:val="left"/>
      <w:pPr>
        <w:ind w:left="5826" w:hanging="360"/>
      </w:pPr>
    </w:lvl>
    <w:lvl w:ilvl="8" w:tplc="C1D80934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64"/>
    <w:rsid w:val="00011CD2"/>
    <w:rsid w:val="00022355"/>
    <w:rsid w:val="00035EDD"/>
    <w:rsid w:val="00085C90"/>
    <w:rsid w:val="00093934"/>
    <w:rsid w:val="000A2DC4"/>
    <w:rsid w:val="000D5ACD"/>
    <w:rsid w:val="0011362B"/>
    <w:rsid w:val="00125B0C"/>
    <w:rsid w:val="00137530"/>
    <w:rsid w:val="00205A94"/>
    <w:rsid w:val="00225B82"/>
    <w:rsid w:val="00227928"/>
    <w:rsid w:val="0027534A"/>
    <w:rsid w:val="002BA2EB"/>
    <w:rsid w:val="00331CEE"/>
    <w:rsid w:val="00347C20"/>
    <w:rsid w:val="003A608F"/>
    <w:rsid w:val="003B0D61"/>
    <w:rsid w:val="003B504C"/>
    <w:rsid w:val="003B6A8B"/>
    <w:rsid w:val="0040228B"/>
    <w:rsid w:val="0041293C"/>
    <w:rsid w:val="00425D20"/>
    <w:rsid w:val="00426B7C"/>
    <w:rsid w:val="0044407B"/>
    <w:rsid w:val="004514B5"/>
    <w:rsid w:val="00460FDA"/>
    <w:rsid w:val="004E66FF"/>
    <w:rsid w:val="004F1F67"/>
    <w:rsid w:val="005849BA"/>
    <w:rsid w:val="005B625C"/>
    <w:rsid w:val="005B8D47"/>
    <w:rsid w:val="005D366E"/>
    <w:rsid w:val="0060442C"/>
    <w:rsid w:val="00622F7A"/>
    <w:rsid w:val="00686FB5"/>
    <w:rsid w:val="006F011D"/>
    <w:rsid w:val="00710CB2"/>
    <w:rsid w:val="00772153"/>
    <w:rsid w:val="00781023"/>
    <w:rsid w:val="00785E9F"/>
    <w:rsid w:val="007A5834"/>
    <w:rsid w:val="007C5804"/>
    <w:rsid w:val="007C6B24"/>
    <w:rsid w:val="007D5A1A"/>
    <w:rsid w:val="007D5C8E"/>
    <w:rsid w:val="008065D9"/>
    <w:rsid w:val="00835B46"/>
    <w:rsid w:val="00837904"/>
    <w:rsid w:val="00850F1D"/>
    <w:rsid w:val="00850FB2"/>
    <w:rsid w:val="0088539A"/>
    <w:rsid w:val="008A4E40"/>
    <w:rsid w:val="00923041"/>
    <w:rsid w:val="009533CD"/>
    <w:rsid w:val="0099359D"/>
    <w:rsid w:val="009D6914"/>
    <w:rsid w:val="00A008D4"/>
    <w:rsid w:val="00A55F64"/>
    <w:rsid w:val="00A666B3"/>
    <w:rsid w:val="00A6771B"/>
    <w:rsid w:val="00A830D1"/>
    <w:rsid w:val="00AA1788"/>
    <w:rsid w:val="00AC66AF"/>
    <w:rsid w:val="00AE33D7"/>
    <w:rsid w:val="00B237A0"/>
    <w:rsid w:val="00B42096"/>
    <w:rsid w:val="00B5439B"/>
    <w:rsid w:val="00B65E34"/>
    <w:rsid w:val="00B817DD"/>
    <w:rsid w:val="00B832E2"/>
    <w:rsid w:val="00BC67BF"/>
    <w:rsid w:val="00BD2AB8"/>
    <w:rsid w:val="00BD6416"/>
    <w:rsid w:val="00C038E4"/>
    <w:rsid w:val="00C5573B"/>
    <w:rsid w:val="00C868CE"/>
    <w:rsid w:val="00CC7D9E"/>
    <w:rsid w:val="00CD163F"/>
    <w:rsid w:val="00D831B9"/>
    <w:rsid w:val="00D87708"/>
    <w:rsid w:val="00D911B9"/>
    <w:rsid w:val="00DF322A"/>
    <w:rsid w:val="00E25339"/>
    <w:rsid w:val="00E64393"/>
    <w:rsid w:val="00E6782B"/>
    <w:rsid w:val="00EA166B"/>
    <w:rsid w:val="00ED1457"/>
    <w:rsid w:val="00F04EBE"/>
    <w:rsid w:val="00F10AD7"/>
    <w:rsid w:val="00F30CFB"/>
    <w:rsid w:val="00F658C9"/>
    <w:rsid w:val="0127C60B"/>
    <w:rsid w:val="013080EC"/>
    <w:rsid w:val="02001899"/>
    <w:rsid w:val="02D8E969"/>
    <w:rsid w:val="032D30DE"/>
    <w:rsid w:val="03B52BE2"/>
    <w:rsid w:val="03DE3331"/>
    <w:rsid w:val="03EC4E88"/>
    <w:rsid w:val="040DAB20"/>
    <w:rsid w:val="044EED39"/>
    <w:rsid w:val="045D1E69"/>
    <w:rsid w:val="0498370D"/>
    <w:rsid w:val="04D1681F"/>
    <w:rsid w:val="0580F49D"/>
    <w:rsid w:val="06070E8C"/>
    <w:rsid w:val="067D3785"/>
    <w:rsid w:val="06DDC979"/>
    <w:rsid w:val="070AD22F"/>
    <w:rsid w:val="079A6C4E"/>
    <w:rsid w:val="07D75CFF"/>
    <w:rsid w:val="08D0561F"/>
    <w:rsid w:val="08D10FD6"/>
    <w:rsid w:val="08DE9149"/>
    <w:rsid w:val="093261AC"/>
    <w:rsid w:val="093E2A7E"/>
    <w:rsid w:val="09633259"/>
    <w:rsid w:val="0A5214AB"/>
    <w:rsid w:val="0AE6CD14"/>
    <w:rsid w:val="0AF2FDA4"/>
    <w:rsid w:val="0B6EA723"/>
    <w:rsid w:val="0B791521"/>
    <w:rsid w:val="0C673214"/>
    <w:rsid w:val="0C85F6B1"/>
    <w:rsid w:val="0CF30F9A"/>
    <w:rsid w:val="0D06A0FE"/>
    <w:rsid w:val="0D9A9220"/>
    <w:rsid w:val="0DA0D868"/>
    <w:rsid w:val="0DAC476D"/>
    <w:rsid w:val="0DAE7968"/>
    <w:rsid w:val="0DD59356"/>
    <w:rsid w:val="0DF0FFB8"/>
    <w:rsid w:val="0EA25CAB"/>
    <w:rsid w:val="0EF41EE7"/>
    <w:rsid w:val="0F9DE0DD"/>
    <w:rsid w:val="0FAA42FC"/>
    <w:rsid w:val="10C2B7E4"/>
    <w:rsid w:val="1128BCA4"/>
    <w:rsid w:val="11A08F8A"/>
    <w:rsid w:val="121A115E"/>
    <w:rsid w:val="12EB5E1D"/>
    <w:rsid w:val="13A1371A"/>
    <w:rsid w:val="13DA65EF"/>
    <w:rsid w:val="14293296"/>
    <w:rsid w:val="1457D6AB"/>
    <w:rsid w:val="14583E81"/>
    <w:rsid w:val="15A79FD8"/>
    <w:rsid w:val="15D8F065"/>
    <w:rsid w:val="16122D7F"/>
    <w:rsid w:val="168755B0"/>
    <w:rsid w:val="17E42C2B"/>
    <w:rsid w:val="192E8357"/>
    <w:rsid w:val="19350D91"/>
    <w:rsid w:val="19364E42"/>
    <w:rsid w:val="19858C24"/>
    <w:rsid w:val="1A1F443F"/>
    <w:rsid w:val="1A35C6FE"/>
    <w:rsid w:val="1A55ECBD"/>
    <w:rsid w:val="1A5EF187"/>
    <w:rsid w:val="1ABBF554"/>
    <w:rsid w:val="1B4D2A7D"/>
    <w:rsid w:val="1BB89AFC"/>
    <w:rsid w:val="1C9EA82F"/>
    <w:rsid w:val="1CDBA5F6"/>
    <w:rsid w:val="1D03B705"/>
    <w:rsid w:val="1D7C842C"/>
    <w:rsid w:val="1DA61198"/>
    <w:rsid w:val="1DFBF956"/>
    <w:rsid w:val="1E991D46"/>
    <w:rsid w:val="1EB7C4FA"/>
    <w:rsid w:val="1EB7D832"/>
    <w:rsid w:val="1F522EF9"/>
    <w:rsid w:val="2074B378"/>
    <w:rsid w:val="210916C5"/>
    <w:rsid w:val="218510CE"/>
    <w:rsid w:val="218A8736"/>
    <w:rsid w:val="21935EAD"/>
    <w:rsid w:val="226A383F"/>
    <w:rsid w:val="2277D7F8"/>
    <w:rsid w:val="236C93B8"/>
    <w:rsid w:val="23C4D75B"/>
    <w:rsid w:val="2411C806"/>
    <w:rsid w:val="25165629"/>
    <w:rsid w:val="252B4E57"/>
    <w:rsid w:val="257345E6"/>
    <w:rsid w:val="25A855B7"/>
    <w:rsid w:val="2604156D"/>
    <w:rsid w:val="265A83C2"/>
    <w:rsid w:val="266CC434"/>
    <w:rsid w:val="267010CA"/>
    <w:rsid w:val="26760F42"/>
    <w:rsid w:val="2676CB99"/>
    <w:rsid w:val="26F53AFD"/>
    <w:rsid w:val="28591FB1"/>
    <w:rsid w:val="2864C0D0"/>
    <w:rsid w:val="29FA478A"/>
    <w:rsid w:val="2A215867"/>
    <w:rsid w:val="2D3543F2"/>
    <w:rsid w:val="2D5B9C1E"/>
    <w:rsid w:val="2D70A17F"/>
    <w:rsid w:val="2E8B53A7"/>
    <w:rsid w:val="2EF70283"/>
    <w:rsid w:val="2FC166C8"/>
    <w:rsid w:val="2FC336FB"/>
    <w:rsid w:val="328B4DAA"/>
    <w:rsid w:val="3351ACFE"/>
    <w:rsid w:val="33BAB81C"/>
    <w:rsid w:val="340D64A3"/>
    <w:rsid w:val="348362D1"/>
    <w:rsid w:val="35979F9E"/>
    <w:rsid w:val="35A282E6"/>
    <w:rsid w:val="35C16E38"/>
    <w:rsid w:val="3613A665"/>
    <w:rsid w:val="363901BC"/>
    <w:rsid w:val="3700E965"/>
    <w:rsid w:val="3727CB8B"/>
    <w:rsid w:val="374E5628"/>
    <w:rsid w:val="38C457D6"/>
    <w:rsid w:val="38E06687"/>
    <w:rsid w:val="3B5912EE"/>
    <w:rsid w:val="3B600011"/>
    <w:rsid w:val="3C6338C7"/>
    <w:rsid w:val="3CC5A807"/>
    <w:rsid w:val="3DD4472E"/>
    <w:rsid w:val="3DDB5A1F"/>
    <w:rsid w:val="3E28F18B"/>
    <w:rsid w:val="3E49D7D4"/>
    <w:rsid w:val="3E5A3795"/>
    <w:rsid w:val="3ED05A45"/>
    <w:rsid w:val="3F50B53D"/>
    <w:rsid w:val="3F99F401"/>
    <w:rsid w:val="402C697A"/>
    <w:rsid w:val="41969412"/>
    <w:rsid w:val="41B5125F"/>
    <w:rsid w:val="42398E4A"/>
    <w:rsid w:val="43A4BAC1"/>
    <w:rsid w:val="443D7435"/>
    <w:rsid w:val="4443F8E3"/>
    <w:rsid w:val="44A0B0D9"/>
    <w:rsid w:val="44E31AA4"/>
    <w:rsid w:val="45B75C50"/>
    <w:rsid w:val="45BEEF6B"/>
    <w:rsid w:val="464F1AA0"/>
    <w:rsid w:val="465936A8"/>
    <w:rsid w:val="47548662"/>
    <w:rsid w:val="499AE076"/>
    <w:rsid w:val="49C5555E"/>
    <w:rsid w:val="4A06C375"/>
    <w:rsid w:val="4A6A7A3E"/>
    <w:rsid w:val="4AA9DBE2"/>
    <w:rsid w:val="4BEE9DA3"/>
    <w:rsid w:val="4BFEC076"/>
    <w:rsid w:val="4C5B93FA"/>
    <w:rsid w:val="4D062B5B"/>
    <w:rsid w:val="4DB2B0DE"/>
    <w:rsid w:val="4E23CB60"/>
    <w:rsid w:val="4E552EC9"/>
    <w:rsid w:val="4EDC00D5"/>
    <w:rsid w:val="4F1F8568"/>
    <w:rsid w:val="4F35FECB"/>
    <w:rsid w:val="4F723CD9"/>
    <w:rsid w:val="5027A4EF"/>
    <w:rsid w:val="502D349B"/>
    <w:rsid w:val="50823D46"/>
    <w:rsid w:val="508333D1"/>
    <w:rsid w:val="50A19207"/>
    <w:rsid w:val="50DFCF13"/>
    <w:rsid w:val="51C12679"/>
    <w:rsid w:val="52014933"/>
    <w:rsid w:val="522106E1"/>
    <w:rsid w:val="527D8A79"/>
    <w:rsid w:val="52F18BAA"/>
    <w:rsid w:val="530A9491"/>
    <w:rsid w:val="535C424B"/>
    <w:rsid w:val="540DB1EE"/>
    <w:rsid w:val="54CA97D3"/>
    <w:rsid w:val="54DFBE2C"/>
    <w:rsid w:val="54E9CBEF"/>
    <w:rsid w:val="5557FE4D"/>
    <w:rsid w:val="561A4FE5"/>
    <w:rsid w:val="56E55234"/>
    <w:rsid w:val="578FCFB4"/>
    <w:rsid w:val="59144BCE"/>
    <w:rsid w:val="5939C843"/>
    <w:rsid w:val="59AEFB72"/>
    <w:rsid w:val="59C2E82B"/>
    <w:rsid w:val="5A0A075B"/>
    <w:rsid w:val="5A3DABE0"/>
    <w:rsid w:val="5B70ED53"/>
    <w:rsid w:val="5B95F4D2"/>
    <w:rsid w:val="5BC80F62"/>
    <w:rsid w:val="5C70446A"/>
    <w:rsid w:val="5CB2FE20"/>
    <w:rsid w:val="5D145D69"/>
    <w:rsid w:val="5D5CF892"/>
    <w:rsid w:val="5D6BB97C"/>
    <w:rsid w:val="5DCBE24B"/>
    <w:rsid w:val="5FAE6BE0"/>
    <w:rsid w:val="601DD968"/>
    <w:rsid w:val="6044EA74"/>
    <w:rsid w:val="60F80E98"/>
    <w:rsid w:val="616B1FD2"/>
    <w:rsid w:val="6280EC9E"/>
    <w:rsid w:val="633265B1"/>
    <w:rsid w:val="648737F6"/>
    <w:rsid w:val="65787F35"/>
    <w:rsid w:val="6627082E"/>
    <w:rsid w:val="669B27E1"/>
    <w:rsid w:val="669F9B07"/>
    <w:rsid w:val="66AD635E"/>
    <w:rsid w:val="67DD0BB0"/>
    <w:rsid w:val="67F49BFD"/>
    <w:rsid w:val="6803F8CD"/>
    <w:rsid w:val="680C0EBD"/>
    <w:rsid w:val="68E2394E"/>
    <w:rsid w:val="6941848D"/>
    <w:rsid w:val="6A26FDB5"/>
    <w:rsid w:val="6AD2D209"/>
    <w:rsid w:val="6B35A322"/>
    <w:rsid w:val="6BB66BE0"/>
    <w:rsid w:val="6BE13E96"/>
    <w:rsid w:val="6C4A0E14"/>
    <w:rsid w:val="6C74B2EB"/>
    <w:rsid w:val="6C860A08"/>
    <w:rsid w:val="6D0F271F"/>
    <w:rsid w:val="6E293C34"/>
    <w:rsid w:val="6E45E52F"/>
    <w:rsid w:val="6EAA8584"/>
    <w:rsid w:val="6ED6480E"/>
    <w:rsid w:val="6F1EC077"/>
    <w:rsid w:val="6FCF371A"/>
    <w:rsid w:val="706A537D"/>
    <w:rsid w:val="71740BB0"/>
    <w:rsid w:val="7180EFB7"/>
    <w:rsid w:val="719A27B9"/>
    <w:rsid w:val="71A75EA7"/>
    <w:rsid w:val="72283AE0"/>
    <w:rsid w:val="72BE6302"/>
    <w:rsid w:val="733CB647"/>
    <w:rsid w:val="73C22194"/>
    <w:rsid w:val="749F3736"/>
    <w:rsid w:val="74AA53E1"/>
    <w:rsid w:val="74D1BE24"/>
    <w:rsid w:val="75133E46"/>
    <w:rsid w:val="759304DA"/>
    <w:rsid w:val="7621F2C4"/>
    <w:rsid w:val="76D5FB1D"/>
    <w:rsid w:val="77CF655D"/>
    <w:rsid w:val="786F6D74"/>
    <w:rsid w:val="79D79181"/>
    <w:rsid w:val="7A6C67D3"/>
    <w:rsid w:val="7A757F3B"/>
    <w:rsid w:val="7ACD55FD"/>
    <w:rsid w:val="7B377E7C"/>
    <w:rsid w:val="7B592FC7"/>
    <w:rsid w:val="7D739E42"/>
    <w:rsid w:val="7DEDDCE4"/>
    <w:rsid w:val="7EE67742"/>
    <w:rsid w:val="7EF74AB8"/>
    <w:rsid w:val="7F17278C"/>
    <w:rsid w:val="7F5CA05A"/>
    <w:rsid w:val="7FA3A372"/>
    <w:rsid w:val="7FF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5E4F"/>
  <w15:chartTrackingRefBased/>
  <w15:docId w15:val="{E0349629-E8BD-4EB1-B728-721BEE6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28459CB4A37439FAACD0101F6D085" ma:contentTypeVersion="11" ma:contentTypeDescription="Creare un nuovo documento." ma:contentTypeScope="" ma:versionID="01a0ed82ff0ab01635dbdf1183014051">
  <xsd:schema xmlns:xsd="http://www.w3.org/2001/XMLSchema" xmlns:xs="http://www.w3.org/2001/XMLSchema" xmlns:p="http://schemas.microsoft.com/office/2006/metadata/properties" xmlns:ns3="30f0ac7e-7e92-4254-8f35-d52489f9564f" xmlns:ns4="55a54e81-de82-433e-b0a0-f2c09d2dcea0" targetNamespace="http://schemas.microsoft.com/office/2006/metadata/properties" ma:root="true" ma:fieldsID="9cc309e2877471d8b0234fa92f7aa0ed" ns3:_="" ns4:_="">
    <xsd:import namespace="30f0ac7e-7e92-4254-8f35-d52489f9564f"/>
    <xsd:import namespace="55a54e81-de82-433e-b0a0-f2c09d2dc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ac7e-7e92-4254-8f35-d52489f9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4e81-de82-433e-b0a0-f2c09d2dc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8D5B-C6D4-4F4D-B967-674E694C1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04E93-9249-483D-8626-092105AA9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ac7e-7e92-4254-8f35-d52489f9564f"/>
    <ds:schemaRef ds:uri="55a54e81-de82-433e-b0a0-f2c09d2dc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0DC3E-8B4B-4C1E-BA60-AE9913467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A36B7-07A8-4CBF-B16A-ECF97EB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Garofalo</dc:creator>
  <cp:keywords/>
  <dc:description/>
  <cp:lastModifiedBy>Ordine degli Ingegneri Pistoia</cp:lastModifiedBy>
  <cp:revision>2</cp:revision>
  <dcterms:created xsi:type="dcterms:W3CDTF">2021-02-02T16:48:00Z</dcterms:created>
  <dcterms:modified xsi:type="dcterms:W3CDTF">2021-02-02T16:48:00Z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0x010100FAC28459CB4A37439FAACD0101F6D085</vt:lpwstr>
  </property>
</Properties>
</file>